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70FF" w14:textId="77777777" w:rsidR="00BA01B0" w:rsidRPr="00BD3E83" w:rsidRDefault="00BA01B0" w:rsidP="00BA01B0">
      <w:pPr>
        <w:ind w:left="-450"/>
        <w:rPr>
          <w:rFonts w:asciiTheme="minorHAnsi" w:eastAsia="Times New Roman" w:hAnsiTheme="minorHAnsi" w:cstheme="minorHAnsi"/>
          <w:color w:val="000000"/>
          <w:shd w:val="clear" w:color="auto" w:fill="FFFFFF"/>
          <w:lang w:eastAsia="zh-CN"/>
        </w:rPr>
      </w:pPr>
    </w:p>
    <w:p w14:paraId="5017C54F" w14:textId="3BB36550" w:rsidR="00572131" w:rsidRDefault="00E23E60" w:rsidP="00572131">
      <w:pPr>
        <w:pStyle w:val="Heading1"/>
      </w:pPr>
      <w:r>
        <w:t>D</w:t>
      </w:r>
      <w:r w:rsidR="00572131">
        <w:t xml:space="preserve">ocumentation </w:t>
      </w:r>
      <w:r>
        <w:t>of the data and calculations to support the</w:t>
      </w:r>
      <w:r w:rsidR="00572131">
        <w:t xml:space="preserve"> </w:t>
      </w:r>
      <w:r w:rsidR="0028519D">
        <w:t xml:space="preserve">Greenhouse Gas Protocol </w:t>
      </w:r>
      <w:r w:rsidR="00572131">
        <w:t xml:space="preserve">Scope 3 Screening Tool </w:t>
      </w:r>
    </w:p>
    <w:p w14:paraId="3AF94A3B" w14:textId="77777777" w:rsidR="00572131" w:rsidRDefault="00572131" w:rsidP="00572131"/>
    <w:p w14:paraId="05A2A1A7" w14:textId="6321C8BE" w:rsidR="00E97504" w:rsidRDefault="00E97504" w:rsidP="00E97504">
      <w:pPr>
        <w:autoSpaceDE w:val="0"/>
        <w:autoSpaceDN w:val="0"/>
        <w:adjustRightInd w:val="0"/>
      </w:pPr>
      <w:r>
        <w:t>The purpose of this document is to help the interested user understand the data, assumptions, and calculations used to transform user inputs into estimates of emissions for the various Scopes and Categories as defined in the Greenhouse Gas Protocol Corporate Value Chain Accounting and Reporting Standard</w:t>
      </w:r>
      <w:r w:rsidR="00F9694F">
        <w:t xml:space="preserve"> (Scope 3 Standard)</w:t>
      </w:r>
      <w:r>
        <w:rPr>
          <w:rStyle w:val="FootnoteReference"/>
        </w:rPr>
        <w:footnoteReference w:id="1"/>
      </w:r>
      <w:r>
        <w:t xml:space="preserve">. </w:t>
      </w:r>
    </w:p>
    <w:p w14:paraId="2C74E930" w14:textId="77777777" w:rsidR="00E97504" w:rsidRDefault="00E97504" w:rsidP="00E97504">
      <w:pPr>
        <w:autoSpaceDE w:val="0"/>
        <w:autoSpaceDN w:val="0"/>
        <w:adjustRightInd w:val="0"/>
      </w:pPr>
    </w:p>
    <w:p w14:paraId="45EC676D" w14:textId="3AB49D0F" w:rsidR="00D156F1" w:rsidRDefault="00E97504" w:rsidP="000F49E6">
      <w:pPr>
        <w:autoSpaceDE w:val="0"/>
        <w:autoSpaceDN w:val="0"/>
        <w:adjustRightInd w:val="0"/>
      </w:pPr>
      <w:r>
        <w:t xml:space="preserve">To a large extent, the data and calculations used to support this screening tool are based on the suggestions offered in the Technical Guidance for Calculating </w:t>
      </w:r>
      <w:r w:rsidRPr="00E97504">
        <w:t>Scope 3 Emissions</w:t>
      </w:r>
      <w:r w:rsidR="00594336">
        <w:rPr>
          <w:rStyle w:val="FootnoteReference"/>
        </w:rPr>
        <w:footnoteReference w:id="2"/>
      </w:r>
      <w:r>
        <w:t xml:space="preserve">, which is a supplement to the </w:t>
      </w:r>
      <w:proofErr w:type="gramStart"/>
      <w:r>
        <w:t>aforementioned Standard</w:t>
      </w:r>
      <w:proofErr w:type="gramEnd"/>
      <w:r>
        <w:t>. In some cases, streamlining measures and assumptions have been made by the mod</w:t>
      </w:r>
      <w:r w:rsidR="000F49E6">
        <w:t>eling team to reduce burden on the user for data collection and information. To the extent possible, this screening tool has been built with the intention of balancing accuracy of emissions estimates with ease of use.  This screening tool is intended to help the user identify hotspots within the corporate value chain that may merit further data collection.</w:t>
      </w:r>
    </w:p>
    <w:p w14:paraId="3DFA2C2E" w14:textId="77777777" w:rsidR="00A159B6" w:rsidRDefault="00A159B6" w:rsidP="000F49E6">
      <w:pPr>
        <w:autoSpaceDE w:val="0"/>
        <w:autoSpaceDN w:val="0"/>
        <w:adjustRightInd w:val="0"/>
      </w:pPr>
    </w:p>
    <w:p w14:paraId="43F4FAAC" w14:textId="2DCC3919" w:rsidR="00B66AF7" w:rsidRDefault="00B66AF7" w:rsidP="00A159B6">
      <w:r>
        <w:t>For other questions relating to the software or documentation, please contact</w:t>
      </w:r>
      <w:r w:rsidR="00A159B6">
        <w:t xml:space="preserve">: </w:t>
      </w:r>
      <w:r w:rsidR="00A159B6" w:rsidRPr="00A159B6">
        <w:rPr>
          <w:rStyle w:val="Hyperlink"/>
        </w:rPr>
        <w:t>Scope3Evaluator@quantis-intl.com</w:t>
      </w:r>
    </w:p>
    <w:p w14:paraId="4059C9CA" w14:textId="77777777" w:rsidR="00B66AF7" w:rsidRDefault="00B66AF7" w:rsidP="00B66AF7"/>
    <w:p w14:paraId="110EC977" w14:textId="51BF61C6" w:rsidR="00B66AF7" w:rsidRDefault="00B66AF7" w:rsidP="00B66AF7">
      <w:r>
        <w:t xml:space="preserve">More information about Quantis and </w:t>
      </w:r>
      <w:r w:rsidR="00F9694F">
        <w:t>our s</w:t>
      </w:r>
      <w:r>
        <w:t xml:space="preserve">ustainability </w:t>
      </w:r>
      <w:r w:rsidR="00F9694F">
        <w:t>c</w:t>
      </w:r>
      <w:r>
        <w:t>onsulting</w:t>
      </w:r>
      <w:r w:rsidR="00F9694F">
        <w:t xml:space="preserve"> services</w:t>
      </w:r>
      <w:r>
        <w:t>:</w:t>
      </w:r>
    </w:p>
    <w:p w14:paraId="1AFF8060" w14:textId="3616C6F7" w:rsidR="00B66AF7" w:rsidRDefault="00016662" w:rsidP="00B66AF7">
      <w:hyperlink r:id="rId8" w:history="1">
        <w:r w:rsidR="00F9694F" w:rsidRPr="00135C70">
          <w:rPr>
            <w:rStyle w:val="Hyperlink"/>
          </w:rPr>
          <w:t>http://www.quantis-intl.com</w:t>
        </w:r>
      </w:hyperlink>
      <w:r w:rsidR="00F9694F">
        <w:t xml:space="preserve"> </w:t>
      </w:r>
    </w:p>
    <w:p w14:paraId="66614AE8" w14:textId="77777777" w:rsidR="00572131" w:rsidRDefault="00572131" w:rsidP="00572131"/>
    <w:p w14:paraId="3D83A0CA" w14:textId="52A2EF60" w:rsidR="00572131" w:rsidRDefault="00F9694F" w:rsidP="00572131">
      <w:pPr>
        <w:rPr>
          <w:rFonts w:asciiTheme="majorHAnsi" w:eastAsiaTheme="majorEastAsia" w:hAnsiTheme="majorHAnsi" w:cstheme="majorBidi"/>
          <w:b/>
          <w:bCs/>
          <w:color w:val="157CAB" w:themeColor="accent1" w:themeShade="BF"/>
          <w:sz w:val="28"/>
          <w:szCs w:val="28"/>
        </w:rPr>
      </w:pPr>
      <w:r>
        <w:t xml:space="preserve">While the Screening Tool asks questions of the user in an order that make sense for gathering data from this organization, the output of the tool is structured based on the 15 categories of emissions defined in the Scope 3 Standard. This document explains the calculations of the tool based on these same 15 categories. The following table indicates the relationship of each section of information collected by the tool to these 15 categories.  </w:t>
      </w:r>
      <w:r w:rsidR="00572131">
        <w:br w:type="page"/>
      </w:r>
    </w:p>
    <w:p w14:paraId="7DBC3E8B" w14:textId="6FBB69D2" w:rsidR="00572131" w:rsidRDefault="0092282C" w:rsidP="00572131">
      <w:pPr>
        <w:pStyle w:val="Heading1"/>
      </w:pPr>
      <w:r>
        <w:lastRenderedPageBreak/>
        <w:t xml:space="preserve">Relation of each </w:t>
      </w:r>
      <w:r w:rsidR="008C6826">
        <w:t>question to GHG Protocol Scope and Category</w:t>
      </w:r>
    </w:p>
    <w:tbl>
      <w:tblPr>
        <w:tblStyle w:val="TableGrid"/>
        <w:tblW w:w="93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58"/>
        <w:gridCol w:w="2520"/>
        <w:gridCol w:w="4500"/>
      </w:tblGrid>
      <w:tr w:rsidR="00572131" w:rsidRPr="00AF7158" w14:paraId="12B2B2CE" w14:textId="77777777" w:rsidTr="00AF7158">
        <w:tc>
          <w:tcPr>
            <w:tcW w:w="2358" w:type="dxa"/>
            <w:shd w:val="clear" w:color="auto" w:fill="A6A6A6" w:themeFill="background1" w:themeFillShade="A6"/>
          </w:tcPr>
          <w:p w14:paraId="39B8608B" w14:textId="47823780" w:rsidR="00572131" w:rsidRPr="00AF7158" w:rsidRDefault="0092282C" w:rsidP="009125B2">
            <w:pPr>
              <w:rPr>
                <w:b/>
                <w:sz w:val="22"/>
                <w:szCs w:val="22"/>
              </w:rPr>
            </w:pPr>
            <w:r w:rsidRPr="00AF7158">
              <w:rPr>
                <w:b/>
                <w:sz w:val="22"/>
                <w:szCs w:val="22"/>
              </w:rPr>
              <w:t>Interface q</w:t>
            </w:r>
            <w:r w:rsidR="00572131" w:rsidRPr="00AF7158">
              <w:rPr>
                <w:b/>
                <w:sz w:val="22"/>
                <w:szCs w:val="22"/>
              </w:rPr>
              <w:t>uestion</w:t>
            </w:r>
          </w:p>
        </w:tc>
        <w:tc>
          <w:tcPr>
            <w:tcW w:w="2520" w:type="dxa"/>
            <w:shd w:val="clear" w:color="auto" w:fill="A6A6A6" w:themeFill="background1" w:themeFillShade="A6"/>
          </w:tcPr>
          <w:p w14:paraId="715C8CAF" w14:textId="23766E57" w:rsidR="00572131" w:rsidRPr="00AF7158" w:rsidRDefault="0092282C" w:rsidP="009125B2">
            <w:pPr>
              <w:rPr>
                <w:b/>
                <w:sz w:val="22"/>
                <w:szCs w:val="22"/>
              </w:rPr>
            </w:pPr>
            <w:r w:rsidRPr="00AF7158">
              <w:rPr>
                <w:b/>
                <w:sz w:val="22"/>
                <w:szCs w:val="22"/>
              </w:rPr>
              <w:t>GHG Protocol Scope/Category</w:t>
            </w:r>
            <w:r w:rsidR="00F9694F">
              <w:rPr>
                <w:rStyle w:val="FootnoteReference"/>
                <w:b/>
                <w:sz w:val="22"/>
                <w:szCs w:val="22"/>
              </w:rPr>
              <w:footnoteReference w:id="3"/>
            </w:r>
          </w:p>
        </w:tc>
        <w:tc>
          <w:tcPr>
            <w:tcW w:w="4500" w:type="dxa"/>
            <w:shd w:val="clear" w:color="auto" w:fill="A6A6A6" w:themeFill="background1" w:themeFillShade="A6"/>
          </w:tcPr>
          <w:p w14:paraId="068E0DC3" w14:textId="061B856C" w:rsidR="00572131" w:rsidRPr="00AF7158" w:rsidRDefault="0092282C" w:rsidP="009125B2">
            <w:pPr>
              <w:rPr>
                <w:b/>
                <w:sz w:val="22"/>
                <w:szCs w:val="22"/>
              </w:rPr>
            </w:pPr>
            <w:r w:rsidRPr="00AF7158">
              <w:rPr>
                <w:b/>
                <w:sz w:val="22"/>
                <w:szCs w:val="22"/>
              </w:rPr>
              <w:t>Details</w:t>
            </w:r>
          </w:p>
        </w:tc>
      </w:tr>
      <w:tr w:rsidR="00572131" w:rsidRPr="00AF7158" w14:paraId="586B2B1E" w14:textId="77777777" w:rsidTr="00AF7158">
        <w:tc>
          <w:tcPr>
            <w:tcW w:w="2358" w:type="dxa"/>
          </w:tcPr>
          <w:p w14:paraId="6C824ED1" w14:textId="77777777" w:rsidR="00572131" w:rsidRPr="00AF7158" w:rsidRDefault="00572131" w:rsidP="009125B2">
            <w:pPr>
              <w:rPr>
                <w:sz w:val="22"/>
                <w:szCs w:val="22"/>
              </w:rPr>
            </w:pPr>
            <w:r w:rsidRPr="00AF7158">
              <w:rPr>
                <w:sz w:val="22"/>
                <w:szCs w:val="22"/>
              </w:rPr>
              <w:t>Industry</w:t>
            </w:r>
          </w:p>
        </w:tc>
        <w:tc>
          <w:tcPr>
            <w:tcW w:w="2520" w:type="dxa"/>
          </w:tcPr>
          <w:p w14:paraId="5E169ACA" w14:textId="77777777" w:rsidR="00572131" w:rsidRPr="00AF7158" w:rsidRDefault="00572131" w:rsidP="009125B2">
            <w:pPr>
              <w:rPr>
                <w:sz w:val="22"/>
                <w:szCs w:val="22"/>
              </w:rPr>
            </w:pPr>
            <w:r w:rsidRPr="00AF7158">
              <w:rPr>
                <w:sz w:val="22"/>
                <w:szCs w:val="22"/>
              </w:rPr>
              <w:t>n/a</w:t>
            </w:r>
          </w:p>
        </w:tc>
        <w:tc>
          <w:tcPr>
            <w:tcW w:w="4500" w:type="dxa"/>
          </w:tcPr>
          <w:p w14:paraId="243D22C2" w14:textId="77777777" w:rsidR="00572131" w:rsidRPr="00AF7158" w:rsidRDefault="00572131" w:rsidP="009125B2">
            <w:pPr>
              <w:rPr>
                <w:sz w:val="22"/>
                <w:szCs w:val="22"/>
              </w:rPr>
            </w:pPr>
            <w:r w:rsidRPr="00AF7158">
              <w:rPr>
                <w:sz w:val="22"/>
                <w:szCs w:val="22"/>
              </w:rPr>
              <w:t>n/a</w:t>
            </w:r>
          </w:p>
        </w:tc>
      </w:tr>
      <w:tr w:rsidR="00572131" w:rsidRPr="00AF7158" w14:paraId="1DC1EAE2" w14:textId="77777777" w:rsidTr="00AF7158">
        <w:tc>
          <w:tcPr>
            <w:tcW w:w="2358" w:type="dxa"/>
          </w:tcPr>
          <w:p w14:paraId="2261F20C" w14:textId="77777777" w:rsidR="00572131" w:rsidRPr="00AF7158" w:rsidRDefault="00572131" w:rsidP="009125B2">
            <w:pPr>
              <w:rPr>
                <w:sz w:val="22"/>
                <w:szCs w:val="22"/>
              </w:rPr>
            </w:pPr>
            <w:r w:rsidRPr="00AF7158">
              <w:rPr>
                <w:sz w:val="22"/>
                <w:szCs w:val="22"/>
              </w:rPr>
              <w:t>Time period</w:t>
            </w:r>
          </w:p>
        </w:tc>
        <w:tc>
          <w:tcPr>
            <w:tcW w:w="2520" w:type="dxa"/>
          </w:tcPr>
          <w:p w14:paraId="228F692A" w14:textId="77777777" w:rsidR="00572131" w:rsidRPr="00AF7158" w:rsidRDefault="00572131" w:rsidP="009125B2">
            <w:pPr>
              <w:rPr>
                <w:sz w:val="22"/>
                <w:szCs w:val="22"/>
              </w:rPr>
            </w:pPr>
            <w:r w:rsidRPr="00AF7158">
              <w:rPr>
                <w:sz w:val="22"/>
                <w:szCs w:val="22"/>
              </w:rPr>
              <w:t>All/any</w:t>
            </w:r>
          </w:p>
        </w:tc>
        <w:tc>
          <w:tcPr>
            <w:tcW w:w="4500" w:type="dxa"/>
          </w:tcPr>
          <w:p w14:paraId="72C22993" w14:textId="77777777" w:rsidR="00572131" w:rsidRPr="00AF7158" w:rsidRDefault="00572131" w:rsidP="009125B2">
            <w:pPr>
              <w:rPr>
                <w:sz w:val="22"/>
                <w:szCs w:val="22"/>
              </w:rPr>
            </w:pPr>
            <w:r w:rsidRPr="00AF7158">
              <w:rPr>
                <w:sz w:val="22"/>
                <w:szCs w:val="22"/>
              </w:rPr>
              <w:t>Convert user input quantities to the proper reference flow quantity of one year</w:t>
            </w:r>
          </w:p>
        </w:tc>
      </w:tr>
      <w:tr w:rsidR="00572131" w:rsidRPr="00AF7158" w14:paraId="42457CC1" w14:textId="77777777" w:rsidTr="00AF7158">
        <w:tc>
          <w:tcPr>
            <w:tcW w:w="2358" w:type="dxa"/>
          </w:tcPr>
          <w:p w14:paraId="335CAAF5" w14:textId="77777777" w:rsidR="00572131" w:rsidRPr="00AF7158" w:rsidRDefault="00572131" w:rsidP="009125B2">
            <w:pPr>
              <w:rPr>
                <w:sz w:val="22"/>
                <w:szCs w:val="22"/>
              </w:rPr>
            </w:pPr>
            <w:r w:rsidRPr="00AF7158">
              <w:rPr>
                <w:sz w:val="22"/>
                <w:szCs w:val="22"/>
              </w:rPr>
              <w:t>Employees</w:t>
            </w:r>
          </w:p>
        </w:tc>
        <w:tc>
          <w:tcPr>
            <w:tcW w:w="2520" w:type="dxa"/>
          </w:tcPr>
          <w:p w14:paraId="05173E17"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7</w:t>
            </w:r>
          </w:p>
        </w:tc>
        <w:tc>
          <w:tcPr>
            <w:tcW w:w="4500" w:type="dxa"/>
          </w:tcPr>
          <w:p w14:paraId="67B5BDF6" w14:textId="1868C1A7" w:rsidR="00572131" w:rsidRPr="00AF7158" w:rsidRDefault="00572131" w:rsidP="009125B2">
            <w:pPr>
              <w:rPr>
                <w:sz w:val="22"/>
                <w:szCs w:val="22"/>
              </w:rPr>
            </w:pPr>
            <w:r w:rsidRPr="00AF7158">
              <w:rPr>
                <w:sz w:val="22"/>
                <w:szCs w:val="22"/>
              </w:rPr>
              <w:t xml:space="preserve">Reference flow to apply to an average transport mode </w:t>
            </w:r>
            <w:r w:rsidR="00D265F8">
              <w:rPr>
                <w:sz w:val="22"/>
                <w:szCs w:val="22"/>
              </w:rPr>
              <w:t>environmental factor (</w:t>
            </w:r>
            <w:r w:rsidRPr="00AF7158">
              <w:rPr>
                <w:sz w:val="22"/>
                <w:szCs w:val="22"/>
              </w:rPr>
              <w:t>EF</w:t>
            </w:r>
            <w:r w:rsidR="00D265F8">
              <w:rPr>
                <w:sz w:val="22"/>
                <w:szCs w:val="22"/>
              </w:rPr>
              <w:t>)</w:t>
            </w:r>
            <w:r w:rsidR="00D265F8">
              <w:rPr>
                <w:rStyle w:val="FootnoteReference"/>
                <w:sz w:val="22"/>
                <w:szCs w:val="22"/>
              </w:rPr>
              <w:footnoteReference w:id="4"/>
            </w:r>
            <w:r w:rsidRPr="00AF7158">
              <w:rPr>
                <w:sz w:val="22"/>
                <w:szCs w:val="22"/>
              </w:rPr>
              <w:t xml:space="preserve"> (see documentation for Category 7)</w:t>
            </w:r>
          </w:p>
        </w:tc>
      </w:tr>
      <w:tr w:rsidR="00572131" w:rsidRPr="00AF7158" w14:paraId="20015935" w14:textId="77777777" w:rsidTr="00AF7158">
        <w:tc>
          <w:tcPr>
            <w:tcW w:w="2358" w:type="dxa"/>
            <w:vMerge w:val="restart"/>
          </w:tcPr>
          <w:p w14:paraId="7ECFD1A6" w14:textId="77777777" w:rsidR="00572131" w:rsidRPr="00AF7158" w:rsidRDefault="00572131" w:rsidP="009125B2">
            <w:pPr>
              <w:rPr>
                <w:sz w:val="22"/>
                <w:szCs w:val="22"/>
              </w:rPr>
            </w:pPr>
            <w:r w:rsidRPr="00AF7158">
              <w:rPr>
                <w:sz w:val="22"/>
                <w:szCs w:val="22"/>
              </w:rPr>
              <w:t>Scopes 1 and 2</w:t>
            </w:r>
          </w:p>
        </w:tc>
        <w:tc>
          <w:tcPr>
            <w:tcW w:w="2520" w:type="dxa"/>
          </w:tcPr>
          <w:p w14:paraId="05AACFD5" w14:textId="05D9E66F" w:rsidR="00572131" w:rsidRPr="00AF7158" w:rsidRDefault="00572131" w:rsidP="009125B2">
            <w:pPr>
              <w:rPr>
                <w:sz w:val="22"/>
                <w:szCs w:val="22"/>
              </w:rPr>
            </w:pPr>
            <w:r w:rsidRPr="00AF7158">
              <w:rPr>
                <w:sz w:val="22"/>
                <w:szCs w:val="22"/>
              </w:rPr>
              <w:t>S1 (plan A</w:t>
            </w:r>
            <w:r w:rsidR="00D265F8">
              <w:rPr>
                <w:rStyle w:val="FootnoteReference"/>
                <w:sz w:val="22"/>
                <w:szCs w:val="22"/>
              </w:rPr>
              <w:footnoteReference w:id="5"/>
            </w:r>
            <w:r w:rsidRPr="00AF7158">
              <w:rPr>
                <w:sz w:val="22"/>
                <w:szCs w:val="22"/>
              </w:rPr>
              <w:t>)</w:t>
            </w:r>
          </w:p>
          <w:p w14:paraId="04F3E20B" w14:textId="77777777" w:rsidR="00572131" w:rsidRPr="00AF7158" w:rsidRDefault="00572131" w:rsidP="009125B2">
            <w:pPr>
              <w:rPr>
                <w:sz w:val="22"/>
                <w:szCs w:val="22"/>
              </w:rPr>
            </w:pPr>
          </w:p>
        </w:tc>
        <w:tc>
          <w:tcPr>
            <w:tcW w:w="4500" w:type="dxa"/>
          </w:tcPr>
          <w:p w14:paraId="1B33744C" w14:textId="77777777" w:rsidR="00572131" w:rsidRPr="00AF7158" w:rsidRDefault="00572131" w:rsidP="009125B2">
            <w:pPr>
              <w:rPr>
                <w:sz w:val="22"/>
                <w:szCs w:val="22"/>
              </w:rPr>
            </w:pPr>
            <w:r w:rsidRPr="00AF7158">
              <w:rPr>
                <w:sz w:val="22"/>
                <w:szCs w:val="22"/>
              </w:rPr>
              <w:t>These are the emissions themselves – no EF necessary.</w:t>
            </w:r>
          </w:p>
        </w:tc>
      </w:tr>
      <w:tr w:rsidR="00572131" w:rsidRPr="00AF7158" w14:paraId="43B34AA7" w14:textId="77777777" w:rsidTr="00AF7158">
        <w:tc>
          <w:tcPr>
            <w:tcW w:w="2358" w:type="dxa"/>
            <w:vMerge/>
          </w:tcPr>
          <w:p w14:paraId="6EC818AC" w14:textId="77777777" w:rsidR="00572131" w:rsidRPr="00AF7158" w:rsidRDefault="00572131" w:rsidP="009125B2">
            <w:pPr>
              <w:rPr>
                <w:sz w:val="22"/>
                <w:szCs w:val="22"/>
              </w:rPr>
            </w:pPr>
          </w:p>
        </w:tc>
        <w:tc>
          <w:tcPr>
            <w:tcW w:w="2520" w:type="dxa"/>
          </w:tcPr>
          <w:p w14:paraId="0D677733" w14:textId="77777777" w:rsidR="00572131" w:rsidRPr="00AF7158" w:rsidRDefault="00572131" w:rsidP="009125B2">
            <w:pPr>
              <w:rPr>
                <w:sz w:val="22"/>
                <w:szCs w:val="22"/>
              </w:rPr>
            </w:pPr>
            <w:r w:rsidRPr="00AF7158">
              <w:rPr>
                <w:sz w:val="22"/>
                <w:szCs w:val="22"/>
              </w:rPr>
              <w:t>S2 (plan A)</w:t>
            </w:r>
          </w:p>
          <w:p w14:paraId="5554849E" w14:textId="77777777" w:rsidR="00572131" w:rsidRPr="00AF7158" w:rsidRDefault="00572131" w:rsidP="009125B2">
            <w:pPr>
              <w:rPr>
                <w:sz w:val="22"/>
                <w:szCs w:val="22"/>
              </w:rPr>
            </w:pPr>
          </w:p>
        </w:tc>
        <w:tc>
          <w:tcPr>
            <w:tcW w:w="4500" w:type="dxa"/>
          </w:tcPr>
          <w:p w14:paraId="267077DE" w14:textId="77777777" w:rsidR="00572131" w:rsidRPr="00AF7158" w:rsidRDefault="00572131" w:rsidP="009125B2">
            <w:pPr>
              <w:rPr>
                <w:sz w:val="22"/>
                <w:szCs w:val="22"/>
              </w:rPr>
            </w:pPr>
            <w:r w:rsidRPr="00AF7158">
              <w:rPr>
                <w:sz w:val="22"/>
                <w:szCs w:val="22"/>
              </w:rPr>
              <w:t>These are the emissions themselves – no EF necessary.</w:t>
            </w:r>
          </w:p>
        </w:tc>
      </w:tr>
      <w:tr w:rsidR="00572131" w:rsidRPr="00AF7158" w14:paraId="50FBDA40" w14:textId="77777777" w:rsidTr="00AF7158">
        <w:tc>
          <w:tcPr>
            <w:tcW w:w="2358" w:type="dxa"/>
            <w:vMerge/>
          </w:tcPr>
          <w:p w14:paraId="5043BBB0" w14:textId="77777777" w:rsidR="00572131" w:rsidRPr="00AF7158" w:rsidRDefault="00572131" w:rsidP="009125B2">
            <w:pPr>
              <w:rPr>
                <w:sz w:val="22"/>
                <w:szCs w:val="22"/>
              </w:rPr>
            </w:pPr>
          </w:p>
        </w:tc>
        <w:tc>
          <w:tcPr>
            <w:tcW w:w="2520" w:type="dxa"/>
          </w:tcPr>
          <w:p w14:paraId="518432AB"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3 (plan A)</w:t>
            </w:r>
          </w:p>
          <w:p w14:paraId="57989AE5" w14:textId="77777777" w:rsidR="00572131" w:rsidRPr="00AF7158" w:rsidRDefault="00572131" w:rsidP="009125B2">
            <w:pPr>
              <w:rPr>
                <w:sz w:val="22"/>
                <w:szCs w:val="22"/>
              </w:rPr>
            </w:pPr>
          </w:p>
        </w:tc>
        <w:tc>
          <w:tcPr>
            <w:tcW w:w="4500" w:type="dxa"/>
          </w:tcPr>
          <w:p w14:paraId="147B15B1" w14:textId="77777777" w:rsidR="00572131" w:rsidRPr="00AF7158" w:rsidRDefault="00572131" w:rsidP="009125B2">
            <w:pPr>
              <w:rPr>
                <w:sz w:val="22"/>
                <w:szCs w:val="22"/>
              </w:rPr>
            </w:pPr>
            <w:r w:rsidRPr="00AF7158">
              <w:rPr>
                <w:sz w:val="22"/>
                <w:szCs w:val="22"/>
              </w:rPr>
              <w:t>Conversion factor to calculate based on Scope 1 and 2 emissions.</w:t>
            </w:r>
          </w:p>
        </w:tc>
      </w:tr>
      <w:tr w:rsidR="00572131" w:rsidRPr="00AF7158" w14:paraId="48F218A8" w14:textId="77777777" w:rsidTr="00AF7158">
        <w:tc>
          <w:tcPr>
            <w:tcW w:w="2358" w:type="dxa"/>
            <w:vMerge w:val="restart"/>
          </w:tcPr>
          <w:p w14:paraId="68F0B6DE" w14:textId="77777777" w:rsidR="00572131" w:rsidRPr="00AF7158" w:rsidRDefault="00572131" w:rsidP="009125B2">
            <w:pPr>
              <w:rPr>
                <w:sz w:val="22"/>
                <w:szCs w:val="22"/>
              </w:rPr>
            </w:pPr>
            <w:r w:rsidRPr="00AF7158">
              <w:rPr>
                <w:sz w:val="22"/>
                <w:szCs w:val="22"/>
              </w:rPr>
              <w:t>Fuel use</w:t>
            </w:r>
          </w:p>
        </w:tc>
        <w:tc>
          <w:tcPr>
            <w:tcW w:w="2520" w:type="dxa"/>
          </w:tcPr>
          <w:p w14:paraId="75A458E2" w14:textId="77777777" w:rsidR="00572131" w:rsidRPr="00AF7158" w:rsidRDefault="00572131" w:rsidP="009125B2">
            <w:pPr>
              <w:rPr>
                <w:sz w:val="22"/>
                <w:szCs w:val="22"/>
              </w:rPr>
            </w:pPr>
            <w:r w:rsidRPr="00AF7158">
              <w:rPr>
                <w:sz w:val="22"/>
                <w:szCs w:val="22"/>
              </w:rPr>
              <w:t>S1 (plan B pt. 1)</w:t>
            </w:r>
          </w:p>
        </w:tc>
        <w:tc>
          <w:tcPr>
            <w:tcW w:w="4500" w:type="dxa"/>
          </w:tcPr>
          <w:p w14:paraId="3CF2C811" w14:textId="7D473C2E" w:rsidR="00572131" w:rsidRPr="00AF7158" w:rsidRDefault="00AA05F7" w:rsidP="009125B2">
            <w:pPr>
              <w:rPr>
                <w:sz w:val="22"/>
                <w:szCs w:val="22"/>
              </w:rPr>
            </w:pPr>
            <w:r>
              <w:rPr>
                <w:sz w:val="22"/>
                <w:szCs w:val="22"/>
              </w:rPr>
              <w:t>Facility fuel use</w:t>
            </w:r>
            <w:r w:rsidR="00572131" w:rsidRPr="00AF7158">
              <w:rPr>
                <w:sz w:val="22"/>
                <w:szCs w:val="22"/>
              </w:rPr>
              <w:t xml:space="preserve"> direct emissions</w:t>
            </w:r>
          </w:p>
        </w:tc>
      </w:tr>
      <w:tr w:rsidR="00572131" w:rsidRPr="00AF7158" w14:paraId="614CD25C" w14:textId="77777777" w:rsidTr="00AF7158">
        <w:tc>
          <w:tcPr>
            <w:tcW w:w="2358" w:type="dxa"/>
            <w:vMerge/>
          </w:tcPr>
          <w:p w14:paraId="0AA8AEC4" w14:textId="77777777" w:rsidR="00572131" w:rsidRPr="00AF7158" w:rsidRDefault="00572131" w:rsidP="009125B2">
            <w:pPr>
              <w:rPr>
                <w:sz w:val="22"/>
                <w:szCs w:val="22"/>
              </w:rPr>
            </w:pPr>
          </w:p>
        </w:tc>
        <w:tc>
          <w:tcPr>
            <w:tcW w:w="2520" w:type="dxa"/>
          </w:tcPr>
          <w:p w14:paraId="04453E7E"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3 (plan B pt. 1)</w:t>
            </w:r>
          </w:p>
        </w:tc>
        <w:tc>
          <w:tcPr>
            <w:tcW w:w="4500" w:type="dxa"/>
          </w:tcPr>
          <w:p w14:paraId="6F7B1E78" w14:textId="555A68A2" w:rsidR="00572131" w:rsidRPr="00AF7158" w:rsidRDefault="00AA05F7" w:rsidP="009125B2">
            <w:pPr>
              <w:rPr>
                <w:sz w:val="22"/>
                <w:szCs w:val="22"/>
              </w:rPr>
            </w:pPr>
            <w:r>
              <w:rPr>
                <w:sz w:val="22"/>
                <w:szCs w:val="22"/>
              </w:rPr>
              <w:t>F</w:t>
            </w:r>
            <w:r w:rsidR="00572131" w:rsidRPr="00AF7158">
              <w:rPr>
                <w:sz w:val="22"/>
                <w:szCs w:val="22"/>
              </w:rPr>
              <w:t xml:space="preserve">acility fuel </w:t>
            </w:r>
            <w:r>
              <w:rPr>
                <w:sz w:val="22"/>
                <w:szCs w:val="22"/>
              </w:rPr>
              <w:t xml:space="preserve">use </w:t>
            </w:r>
            <w:r w:rsidR="00572131" w:rsidRPr="00AF7158">
              <w:rPr>
                <w:sz w:val="22"/>
                <w:szCs w:val="22"/>
              </w:rPr>
              <w:t>indirect emissions</w:t>
            </w:r>
            <w:r>
              <w:rPr>
                <w:sz w:val="22"/>
                <w:szCs w:val="22"/>
              </w:rPr>
              <w:t xml:space="preserve"> for owned facilities</w:t>
            </w:r>
          </w:p>
        </w:tc>
      </w:tr>
      <w:tr w:rsidR="00572131" w:rsidRPr="00AF7158" w14:paraId="6C50BC6F" w14:textId="77777777" w:rsidTr="00AF7158">
        <w:tc>
          <w:tcPr>
            <w:tcW w:w="2358" w:type="dxa"/>
            <w:vMerge w:val="restart"/>
          </w:tcPr>
          <w:p w14:paraId="5B2EFB7F" w14:textId="77777777" w:rsidR="00572131" w:rsidRPr="00AF7158" w:rsidRDefault="00572131" w:rsidP="009125B2">
            <w:pPr>
              <w:rPr>
                <w:sz w:val="22"/>
                <w:szCs w:val="22"/>
              </w:rPr>
            </w:pPr>
            <w:r w:rsidRPr="00AF7158">
              <w:rPr>
                <w:sz w:val="22"/>
                <w:szCs w:val="22"/>
              </w:rPr>
              <w:t>Electricity use</w:t>
            </w:r>
          </w:p>
        </w:tc>
        <w:tc>
          <w:tcPr>
            <w:tcW w:w="2520" w:type="dxa"/>
          </w:tcPr>
          <w:p w14:paraId="34731C71" w14:textId="77777777" w:rsidR="00572131" w:rsidRPr="00AF7158" w:rsidRDefault="00572131" w:rsidP="009125B2">
            <w:pPr>
              <w:rPr>
                <w:sz w:val="22"/>
                <w:szCs w:val="22"/>
              </w:rPr>
            </w:pPr>
            <w:r w:rsidRPr="00AF7158">
              <w:rPr>
                <w:sz w:val="22"/>
                <w:szCs w:val="22"/>
              </w:rPr>
              <w:t>S2 (plan B pt. 1)</w:t>
            </w:r>
          </w:p>
        </w:tc>
        <w:tc>
          <w:tcPr>
            <w:tcW w:w="4500" w:type="dxa"/>
          </w:tcPr>
          <w:p w14:paraId="3F16E4B5" w14:textId="0FB418DD" w:rsidR="00572131" w:rsidRPr="00AF7158" w:rsidRDefault="00AA05F7" w:rsidP="009125B2">
            <w:pPr>
              <w:rPr>
                <w:sz w:val="22"/>
                <w:szCs w:val="22"/>
              </w:rPr>
            </w:pPr>
            <w:r>
              <w:rPr>
                <w:sz w:val="22"/>
                <w:szCs w:val="22"/>
              </w:rPr>
              <w:t>Facility purchased e</w:t>
            </w:r>
            <w:r w:rsidR="00572131" w:rsidRPr="00AF7158">
              <w:rPr>
                <w:sz w:val="22"/>
                <w:szCs w:val="22"/>
              </w:rPr>
              <w:t>lectricity production direct emissions</w:t>
            </w:r>
          </w:p>
        </w:tc>
      </w:tr>
      <w:tr w:rsidR="00572131" w:rsidRPr="00AF7158" w14:paraId="506CF20D" w14:textId="77777777" w:rsidTr="00AF7158">
        <w:tc>
          <w:tcPr>
            <w:tcW w:w="2358" w:type="dxa"/>
            <w:vMerge/>
          </w:tcPr>
          <w:p w14:paraId="7059CF81" w14:textId="77777777" w:rsidR="00572131" w:rsidRPr="00AF7158" w:rsidRDefault="00572131" w:rsidP="009125B2">
            <w:pPr>
              <w:rPr>
                <w:sz w:val="22"/>
                <w:szCs w:val="22"/>
              </w:rPr>
            </w:pPr>
          </w:p>
        </w:tc>
        <w:tc>
          <w:tcPr>
            <w:tcW w:w="2520" w:type="dxa"/>
          </w:tcPr>
          <w:p w14:paraId="407A7855"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3 (plan B pt. 2)</w:t>
            </w:r>
          </w:p>
        </w:tc>
        <w:tc>
          <w:tcPr>
            <w:tcW w:w="4500" w:type="dxa"/>
          </w:tcPr>
          <w:p w14:paraId="35672115" w14:textId="30A04642" w:rsidR="00572131" w:rsidRPr="00AF7158" w:rsidRDefault="00AA05F7" w:rsidP="009125B2">
            <w:pPr>
              <w:rPr>
                <w:sz w:val="22"/>
                <w:szCs w:val="22"/>
              </w:rPr>
            </w:pPr>
            <w:r>
              <w:rPr>
                <w:sz w:val="22"/>
                <w:szCs w:val="22"/>
              </w:rPr>
              <w:t>F</w:t>
            </w:r>
            <w:r w:rsidR="00572131" w:rsidRPr="00AF7158">
              <w:rPr>
                <w:sz w:val="22"/>
                <w:szCs w:val="22"/>
              </w:rPr>
              <w:t>acility electricity production indirect emissions</w:t>
            </w:r>
            <w:r>
              <w:rPr>
                <w:sz w:val="22"/>
                <w:szCs w:val="22"/>
              </w:rPr>
              <w:t xml:space="preserve"> for owned facilities</w:t>
            </w:r>
          </w:p>
        </w:tc>
      </w:tr>
      <w:tr w:rsidR="00572131" w:rsidRPr="00AF7158" w14:paraId="1493841F" w14:textId="77777777" w:rsidTr="00AF7158">
        <w:tc>
          <w:tcPr>
            <w:tcW w:w="2358" w:type="dxa"/>
          </w:tcPr>
          <w:p w14:paraId="7E8ECB3D" w14:textId="77777777" w:rsidR="00572131" w:rsidRPr="00AF7158" w:rsidRDefault="00572131" w:rsidP="009125B2">
            <w:pPr>
              <w:rPr>
                <w:sz w:val="22"/>
                <w:szCs w:val="22"/>
              </w:rPr>
            </w:pPr>
            <w:r w:rsidRPr="00AF7158">
              <w:rPr>
                <w:sz w:val="22"/>
                <w:szCs w:val="22"/>
              </w:rPr>
              <w:t>Waste</w:t>
            </w:r>
          </w:p>
        </w:tc>
        <w:tc>
          <w:tcPr>
            <w:tcW w:w="2520" w:type="dxa"/>
          </w:tcPr>
          <w:p w14:paraId="4717E04A"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5</w:t>
            </w:r>
          </w:p>
        </w:tc>
        <w:tc>
          <w:tcPr>
            <w:tcW w:w="4500" w:type="dxa"/>
          </w:tcPr>
          <w:p w14:paraId="7A045DE8" w14:textId="77777777" w:rsidR="00572131" w:rsidRPr="00AF7158" w:rsidRDefault="00572131" w:rsidP="009125B2">
            <w:pPr>
              <w:rPr>
                <w:sz w:val="22"/>
                <w:szCs w:val="22"/>
              </w:rPr>
            </w:pPr>
            <w:r w:rsidRPr="00AF7158">
              <w:rPr>
                <w:sz w:val="22"/>
                <w:szCs w:val="22"/>
              </w:rPr>
              <w:t>Waste emissions</w:t>
            </w:r>
          </w:p>
        </w:tc>
      </w:tr>
      <w:tr w:rsidR="00572131" w:rsidRPr="00AF7158" w14:paraId="7C04D803" w14:textId="77777777" w:rsidTr="00AF7158">
        <w:tc>
          <w:tcPr>
            <w:tcW w:w="2358" w:type="dxa"/>
            <w:vMerge w:val="restart"/>
          </w:tcPr>
          <w:p w14:paraId="7A405008" w14:textId="77777777" w:rsidR="00572131" w:rsidRPr="00AF7158" w:rsidRDefault="00572131" w:rsidP="009125B2">
            <w:pPr>
              <w:rPr>
                <w:sz w:val="22"/>
                <w:szCs w:val="22"/>
              </w:rPr>
            </w:pPr>
            <w:r w:rsidRPr="00AF7158">
              <w:rPr>
                <w:sz w:val="22"/>
                <w:szCs w:val="22"/>
              </w:rPr>
              <w:t>Facilities</w:t>
            </w:r>
          </w:p>
        </w:tc>
        <w:tc>
          <w:tcPr>
            <w:tcW w:w="2520" w:type="dxa"/>
          </w:tcPr>
          <w:p w14:paraId="104B3AA5" w14:textId="77777777" w:rsidR="00572131" w:rsidRPr="00AF7158" w:rsidRDefault="00572131" w:rsidP="009125B2">
            <w:pPr>
              <w:rPr>
                <w:sz w:val="22"/>
                <w:szCs w:val="22"/>
              </w:rPr>
            </w:pPr>
            <w:r w:rsidRPr="00AF7158">
              <w:rPr>
                <w:sz w:val="22"/>
                <w:szCs w:val="22"/>
              </w:rPr>
              <w:t>S1 (plan C)</w:t>
            </w:r>
          </w:p>
          <w:p w14:paraId="3115899C" w14:textId="77777777" w:rsidR="00572131" w:rsidRPr="00AF7158" w:rsidRDefault="00572131" w:rsidP="009125B2">
            <w:pPr>
              <w:rPr>
                <w:sz w:val="22"/>
                <w:szCs w:val="22"/>
              </w:rPr>
            </w:pPr>
          </w:p>
        </w:tc>
        <w:tc>
          <w:tcPr>
            <w:tcW w:w="4500" w:type="dxa"/>
          </w:tcPr>
          <w:p w14:paraId="224CEBF5" w14:textId="0B14EE0D" w:rsidR="00192B61" w:rsidRPr="00AF7158" w:rsidRDefault="00192B61" w:rsidP="00843C31">
            <w:pPr>
              <w:rPr>
                <w:sz w:val="22"/>
                <w:szCs w:val="22"/>
              </w:rPr>
            </w:pPr>
            <w:r>
              <w:rPr>
                <w:sz w:val="22"/>
                <w:szCs w:val="22"/>
              </w:rPr>
              <w:t xml:space="preserve">Facility fuel use direct emissions for owned </w:t>
            </w:r>
            <w:r w:rsidR="00843C31">
              <w:rPr>
                <w:sz w:val="22"/>
                <w:szCs w:val="22"/>
              </w:rPr>
              <w:t>facilities</w:t>
            </w:r>
          </w:p>
        </w:tc>
      </w:tr>
      <w:tr w:rsidR="00572131" w:rsidRPr="00AF7158" w14:paraId="48107EB3" w14:textId="77777777" w:rsidTr="00AF7158">
        <w:tc>
          <w:tcPr>
            <w:tcW w:w="2358" w:type="dxa"/>
            <w:vMerge/>
          </w:tcPr>
          <w:p w14:paraId="60DFEC44" w14:textId="77777777" w:rsidR="00572131" w:rsidRPr="00AF7158" w:rsidRDefault="00572131" w:rsidP="009125B2">
            <w:pPr>
              <w:rPr>
                <w:sz w:val="22"/>
                <w:szCs w:val="22"/>
              </w:rPr>
            </w:pPr>
          </w:p>
        </w:tc>
        <w:tc>
          <w:tcPr>
            <w:tcW w:w="2520" w:type="dxa"/>
          </w:tcPr>
          <w:p w14:paraId="0977CC3E" w14:textId="77777777" w:rsidR="00572131" w:rsidRPr="00AF7158" w:rsidRDefault="00572131" w:rsidP="009125B2">
            <w:pPr>
              <w:rPr>
                <w:sz w:val="22"/>
                <w:szCs w:val="22"/>
              </w:rPr>
            </w:pPr>
            <w:r w:rsidRPr="00AF7158">
              <w:rPr>
                <w:sz w:val="22"/>
                <w:szCs w:val="22"/>
              </w:rPr>
              <w:t>S2 (plan C)</w:t>
            </w:r>
          </w:p>
        </w:tc>
        <w:tc>
          <w:tcPr>
            <w:tcW w:w="4500" w:type="dxa"/>
          </w:tcPr>
          <w:p w14:paraId="53E30A57" w14:textId="4E01CD13" w:rsidR="00572131" w:rsidRPr="00AF7158" w:rsidRDefault="00AA05F7" w:rsidP="009125B2">
            <w:pPr>
              <w:rPr>
                <w:sz w:val="22"/>
                <w:szCs w:val="22"/>
              </w:rPr>
            </w:pPr>
            <w:r>
              <w:rPr>
                <w:sz w:val="22"/>
                <w:szCs w:val="22"/>
              </w:rPr>
              <w:t>Facility</w:t>
            </w:r>
            <w:r w:rsidR="00572131" w:rsidRPr="00AF7158">
              <w:rPr>
                <w:sz w:val="22"/>
                <w:szCs w:val="22"/>
              </w:rPr>
              <w:t xml:space="preserve"> purchased electricity production on-site emissions</w:t>
            </w:r>
            <w:r>
              <w:rPr>
                <w:sz w:val="22"/>
                <w:szCs w:val="22"/>
              </w:rPr>
              <w:t xml:space="preserve"> for owned facilities</w:t>
            </w:r>
          </w:p>
        </w:tc>
      </w:tr>
      <w:tr w:rsidR="00572131" w:rsidRPr="00AF7158" w14:paraId="5E36678F" w14:textId="77777777" w:rsidTr="00AF7158">
        <w:tc>
          <w:tcPr>
            <w:tcW w:w="2358" w:type="dxa"/>
            <w:vMerge/>
          </w:tcPr>
          <w:p w14:paraId="3BD983BA" w14:textId="77777777" w:rsidR="00572131" w:rsidRPr="00AF7158" w:rsidRDefault="00572131" w:rsidP="009125B2">
            <w:pPr>
              <w:rPr>
                <w:sz w:val="22"/>
                <w:szCs w:val="22"/>
              </w:rPr>
            </w:pPr>
          </w:p>
        </w:tc>
        <w:tc>
          <w:tcPr>
            <w:tcW w:w="2520" w:type="dxa"/>
          </w:tcPr>
          <w:p w14:paraId="229F4339"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3 (plan C)</w:t>
            </w:r>
          </w:p>
        </w:tc>
        <w:tc>
          <w:tcPr>
            <w:tcW w:w="4500" w:type="dxa"/>
          </w:tcPr>
          <w:p w14:paraId="52E2B494" w14:textId="77777777" w:rsidR="00572131" w:rsidRPr="00AF7158" w:rsidRDefault="00572131" w:rsidP="009125B2">
            <w:pPr>
              <w:rPr>
                <w:sz w:val="22"/>
                <w:szCs w:val="22"/>
              </w:rPr>
            </w:pPr>
            <w:r w:rsidRPr="00AF7158">
              <w:rPr>
                <w:sz w:val="22"/>
                <w:szCs w:val="22"/>
              </w:rPr>
              <w:t>Conversion factor to calculate based on Scope 1 and 2 emissions.</w:t>
            </w:r>
          </w:p>
        </w:tc>
      </w:tr>
      <w:tr w:rsidR="00572131" w:rsidRPr="00AF7158" w14:paraId="53001750" w14:textId="77777777" w:rsidTr="00AF7158">
        <w:tc>
          <w:tcPr>
            <w:tcW w:w="2358" w:type="dxa"/>
            <w:vMerge/>
          </w:tcPr>
          <w:p w14:paraId="682FB1F6" w14:textId="77777777" w:rsidR="00572131" w:rsidRPr="00AF7158" w:rsidRDefault="00572131" w:rsidP="009125B2">
            <w:pPr>
              <w:rPr>
                <w:sz w:val="22"/>
                <w:szCs w:val="22"/>
              </w:rPr>
            </w:pPr>
          </w:p>
        </w:tc>
        <w:tc>
          <w:tcPr>
            <w:tcW w:w="2520" w:type="dxa"/>
          </w:tcPr>
          <w:p w14:paraId="08CB227B"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8 pt.1</w:t>
            </w:r>
          </w:p>
        </w:tc>
        <w:tc>
          <w:tcPr>
            <w:tcW w:w="4500" w:type="dxa"/>
          </w:tcPr>
          <w:p w14:paraId="73F682AD" w14:textId="542FCDB5" w:rsidR="00192B61" w:rsidRPr="00AF7158" w:rsidRDefault="00192B61" w:rsidP="00843C31">
            <w:pPr>
              <w:rPr>
                <w:sz w:val="22"/>
                <w:szCs w:val="22"/>
              </w:rPr>
            </w:pPr>
            <w:r>
              <w:rPr>
                <w:sz w:val="22"/>
                <w:szCs w:val="22"/>
              </w:rPr>
              <w:t xml:space="preserve">Facility fuel use direct emissions for leased </w:t>
            </w:r>
            <w:r w:rsidR="00843C31">
              <w:rPr>
                <w:sz w:val="22"/>
                <w:szCs w:val="22"/>
              </w:rPr>
              <w:t>facilities</w:t>
            </w:r>
          </w:p>
        </w:tc>
      </w:tr>
      <w:tr w:rsidR="00572131" w:rsidRPr="00AF7158" w14:paraId="26A61007" w14:textId="77777777" w:rsidTr="00AF7158">
        <w:tc>
          <w:tcPr>
            <w:tcW w:w="2358" w:type="dxa"/>
            <w:vMerge w:val="restart"/>
          </w:tcPr>
          <w:p w14:paraId="458B4AA1" w14:textId="77777777" w:rsidR="00572131" w:rsidRPr="00AF7158" w:rsidRDefault="00572131" w:rsidP="009125B2">
            <w:pPr>
              <w:rPr>
                <w:sz w:val="22"/>
                <w:szCs w:val="22"/>
              </w:rPr>
            </w:pPr>
            <w:r w:rsidRPr="00AF7158">
              <w:rPr>
                <w:sz w:val="22"/>
                <w:szCs w:val="22"/>
              </w:rPr>
              <w:t>Purchased goods and services</w:t>
            </w:r>
          </w:p>
        </w:tc>
        <w:tc>
          <w:tcPr>
            <w:tcW w:w="2520" w:type="dxa"/>
          </w:tcPr>
          <w:p w14:paraId="0BBAD1EA"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1</w:t>
            </w:r>
          </w:p>
        </w:tc>
        <w:tc>
          <w:tcPr>
            <w:tcW w:w="4500" w:type="dxa"/>
          </w:tcPr>
          <w:p w14:paraId="1913C62B" w14:textId="22DBCA00" w:rsidR="00572131" w:rsidRPr="00AF7158" w:rsidRDefault="00572131">
            <w:pPr>
              <w:rPr>
                <w:sz w:val="22"/>
                <w:szCs w:val="22"/>
              </w:rPr>
            </w:pPr>
            <w:r w:rsidRPr="00AF7158">
              <w:rPr>
                <w:sz w:val="22"/>
                <w:szCs w:val="22"/>
              </w:rPr>
              <w:t>WIOD sector and revenue identified by user represent</w:t>
            </w:r>
            <w:r w:rsidR="00F32CB5">
              <w:rPr>
                <w:sz w:val="22"/>
                <w:szCs w:val="22"/>
              </w:rPr>
              <w:t>s</w:t>
            </w:r>
            <w:r w:rsidRPr="00AF7158">
              <w:rPr>
                <w:sz w:val="22"/>
                <w:szCs w:val="22"/>
              </w:rPr>
              <w:t xml:space="preserve"> sector goods and services</w:t>
            </w:r>
          </w:p>
        </w:tc>
      </w:tr>
      <w:tr w:rsidR="00572131" w:rsidRPr="00AF7158" w14:paraId="377676FB" w14:textId="77777777" w:rsidTr="00AF7158">
        <w:tc>
          <w:tcPr>
            <w:tcW w:w="2358" w:type="dxa"/>
            <w:vMerge/>
          </w:tcPr>
          <w:p w14:paraId="4BC19D0E" w14:textId="77777777" w:rsidR="00572131" w:rsidRPr="00AF7158" w:rsidRDefault="00572131" w:rsidP="009125B2">
            <w:pPr>
              <w:rPr>
                <w:sz w:val="22"/>
                <w:szCs w:val="22"/>
              </w:rPr>
            </w:pPr>
          </w:p>
        </w:tc>
        <w:tc>
          <w:tcPr>
            <w:tcW w:w="2520" w:type="dxa"/>
          </w:tcPr>
          <w:p w14:paraId="5DB30AFC"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2</w:t>
            </w:r>
          </w:p>
        </w:tc>
        <w:tc>
          <w:tcPr>
            <w:tcW w:w="4500" w:type="dxa"/>
          </w:tcPr>
          <w:p w14:paraId="38B94AC7" w14:textId="64E1146D" w:rsidR="00572131" w:rsidRPr="00AF7158" w:rsidRDefault="00572131">
            <w:pPr>
              <w:rPr>
                <w:sz w:val="22"/>
                <w:szCs w:val="22"/>
              </w:rPr>
            </w:pPr>
            <w:r w:rsidRPr="00AF7158">
              <w:rPr>
                <w:sz w:val="22"/>
                <w:szCs w:val="22"/>
              </w:rPr>
              <w:t>WIOD sector and revenue identified by user represent</w:t>
            </w:r>
            <w:r w:rsidR="00F32CB5">
              <w:rPr>
                <w:sz w:val="22"/>
                <w:szCs w:val="22"/>
              </w:rPr>
              <w:t>s</w:t>
            </w:r>
            <w:r w:rsidRPr="00AF7158">
              <w:rPr>
                <w:sz w:val="22"/>
                <w:szCs w:val="22"/>
              </w:rPr>
              <w:t xml:space="preserve"> sector goods and services</w:t>
            </w:r>
          </w:p>
        </w:tc>
      </w:tr>
      <w:tr w:rsidR="00572131" w:rsidRPr="00AF7158" w14:paraId="206A1171" w14:textId="77777777" w:rsidTr="00AF7158">
        <w:tc>
          <w:tcPr>
            <w:tcW w:w="2358" w:type="dxa"/>
          </w:tcPr>
          <w:p w14:paraId="56BF47FC" w14:textId="77777777" w:rsidR="00572131" w:rsidRPr="00AF7158" w:rsidRDefault="00572131" w:rsidP="009125B2">
            <w:pPr>
              <w:rPr>
                <w:sz w:val="22"/>
                <w:szCs w:val="22"/>
              </w:rPr>
            </w:pPr>
            <w:r w:rsidRPr="00AF7158">
              <w:rPr>
                <w:sz w:val="22"/>
                <w:szCs w:val="22"/>
              </w:rPr>
              <w:t>Vehicles</w:t>
            </w:r>
          </w:p>
        </w:tc>
        <w:tc>
          <w:tcPr>
            <w:tcW w:w="2520" w:type="dxa"/>
          </w:tcPr>
          <w:p w14:paraId="03396F5C" w14:textId="77777777" w:rsidR="00572131" w:rsidRPr="00AF7158" w:rsidRDefault="00572131" w:rsidP="009125B2">
            <w:pPr>
              <w:rPr>
                <w:sz w:val="22"/>
                <w:szCs w:val="22"/>
              </w:rPr>
            </w:pPr>
          </w:p>
        </w:tc>
        <w:tc>
          <w:tcPr>
            <w:tcW w:w="4500" w:type="dxa"/>
          </w:tcPr>
          <w:p w14:paraId="4D71C39C" w14:textId="77777777" w:rsidR="00572131" w:rsidRPr="00AF7158" w:rsidRDefault="00572131" w:rsidP="009125B2">
            <w:pPr>
              <w:rPr>
                <w:sz w:val="22"/>
                <w:szCs w:val="22"/>
              </w:rPr>
            </w:pPr>
          </w:p>
        </w:tc>
      </w:tr>
      <w:tr w:rsidR="00572131" w:rsidRPr="00AF7158" w14:paraId="6BBBA686" w14:textId="77777777" w:rsidTr="00AF7158">
        <w:tc>
          <w:tcPr>
            <w:tcW w:w="2358" w:type="dxa"/>
          </w:tcPr>
          <w:p w14:paraId="202BD765" w14:textId="77777777" w:rsidR="00572131" w:rsidRPr="00AF7158" w:rsidRDefault="00572131" w:rsidP="009125B2">
            <w:pPr>
              <w:rPr>
                <w:sz w:val="22"/>
                <w:szCs w:val="22"/>
              </w:rPr>
            </w:pPr>
            <w:r w:rsidRPr="00AF7158">
              <w:rPr>
                <w:sz w:val="22"/>
                <w:szCs w:val="22"/>
              </w:rPr>
              <w:t xml:space="preserve">   Owned vehicles</w:t>
            </w:r>
          </w:p>
        </w:tc>
        <w:tc>
          <w:tcPr>
            <w:tcW w:w="2520" w:type="dxa"/>
          </w:tcPr>
          <w:p w14:paraId="4CF31223" w14:textId="77777777" w:rsidR="00572131" w:rsidRPr="00AF7158" w:rsidRDefault="00572131" w:rsidP="009125B2">
            <w:pPr>
              <w:rPr>
                <w:sz w:val="22"/>
                <w:szCs w:val="22"/>
              </w:rPr>
            </w:pPr>
            <w:r w:rsidRPr="00AF7158">
              <w:rPr>
                <w:sz w:val="22"/>
                <w:szCs w:val="22"/>
              </w:rPr>
              <w:t>S1 (plan B pt. 2)</w:t>
            </w:r>
          </w:p>
        </w:tc>
        <w:tc>
          <w:tcPr>
            <w:tcW w:w="4500" w:type="dxa"/>
          </w:tcPr>
          <w:p w14:paraId="240B9764" w14:textId="081D9EBE" w:rsidR="00A04A8B" w:rsidRPr="00AF7158" w:rsidRDefault="00A04A8B" w:rsidP="00A04A8B">
            <w:pPr>
              <w:rPr>
                <w:sz w:val="22"/>
                <w:szCs w:val="22"/>
              </w:rPr>
            </w:pPr>
            <w:r>
              <w:rPr>
                <w:sz w:val="22"/>
                <w:szCs w:val="22"/>
              </w:rPr>
              <w:t>Direct emissions for owned vehicles</w:t>
            </w:r>
          </w:p>
        </w:tc>
      </w:tr>
      <w:tr w:rsidR="00572131" w:rsidRPr="00AF7158" w14:paraId="2E80C968" w14:textId="77777777" w:rsidTr="00AF7158">
        <w:tc>
          <w:tcPr>
            <w:tcW w:w="2358" w:type="dxa"/>
          </w:tcPr>
          <w:p w14:paraId="18F062A9" w14:textId="77777777" w:rsidR="00572131" w:rsidRPr="00AF7158" w:rsidRDefault="00572131" w:rsidP="009125B2">
            <w:pPr>
              <w:rPr>
                <w:sz w:val="22"/>
                <w:szCs w:val="22"/>
              </w:rPr>
            </w:pPr>
            <w:r w:rsidRPr="00AF7158">
              <w:rPr>
                <w:sz w:val="22"/>
                <w:szCs w:val="22"/>
              </w:rPr>
              <w:t xml:space="preserve">   Leased vehicles</w:t>
            </w:r>
          </w:p>
        </w:tc>
        <w:tc>
          <w:tcPr>
            <w:tcW w:w="2520" w:type="dxa"/>
          </w:tcPr>
          <w:p w14:paraId="5905AA29"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8 pt. 2</w:t>
            </w:r>
          </w:p>
        </w:tc>
        <w:tc>
          <w:tcPr>
            <w:tcW w:w="4500" w:type="dxa"/>
          </w:tcPr>
          <w:p w14:paraId="495DCCA6" w14:textId="75409591" w:rsidR="00A04A8B" w:rsidRPr="00AF7158" w:rsidRDefault="00A04A8B" w:rsidP="00A04A8B">
            <w:pPr>
              <w:rPr>
                <w:sz w:val="22"/>
                <w:szCs w:val="22"/>
              </w:rPr>
            </w:pPr>
            <w:r>
              <w:rPr>
                <w:sz w:val="22"/>
                <w:szCs w:val="22"/>
              </w:rPr>
              <w:t>Direct emissions for leased vehicles</w:t>
            </w:r>
          </w:p>
        </w:tc>
      </w:tr>
      <w:tr w:rsidR="00572131" w:rsidRPr="00AF7158" w14:paraId="55FD012D" w14:textId="77777777" w:rsidTr="00AF7158">
        <w:tc>
          <w:tcPr>
            <w:tcW w:w="2358" w:type="dxa"/>
          </w:tcPr>
          <w:p w14:paraId="1DBB711A" w14:textId="77777777" w:rsidR="00572131" w:rsidRPr="00AF7158" w:rsidRDefault="00572131" w:rsidP="009125B2">
            <w:pPr>
              <w:rPr>
                <w:sz w:val="22"/>
                <w:szCs w:val="22"/>
              </w:rPr>
            </w:pPr>
            <w:r w:rsidRPr="00AF7158">
              <w:rPr>
                <w:sz w:val="22"/>
                <w:szCs w:val="22"/>
              </w:rPr>
              <w:lastRenderedPageBreak/>
              <w:t>Third-party transport</w:t>
            </w:r>
          </w:p>
        </w:tc>
        <w:tc>
          <w:tcPr>
            <w:tcW w:w="2520" w:type="dxa"/>
          </w:tcPr>
          <w:p w14:paraId="3AEEAF83"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4 pt. 1</w:t>
            </w:r>
          </w:p>
        </w:tc>
        <w:tc>
          <w:tcPr>
            <w:tcW w:w="4500" w:type="dxa"/>
          </w:tcPr>
          <w:p w14:paraId="71D00FDA" w14:textId="77777777" w:rsidR="00572131" w:rsidRPr="00AF7158" w:rsidRDefault="00572131" w:rsidP="009125B2">
            <w:pPr>
              <w:rPr>
                <w:sz w:val="22"/>
                <w:szCs w:val="22"/>
              </w:rPr>
            </w:pPr>
            <w:r w:rsidRPr="00AF7158">
              <w:rPr>
                <w:sz w:val="22"/>
                <w:szCs w:val="22"/>
              </w:rPr>
              <w:t>Transport mode</w:t>
            </w:r>
          </w:p>
        </w:tc>
      </w:tr>
      <w:tr w:rsidR="00572131" w:rsidRPr="00AF7158" w14:paraId="25396045" w14:textId="77777777" w:rsidTr="00AF7158">
        <w:tc>
          <w:tcPr>
            <w:tcW w:w="2358" w:type="dxa"/>
            <w:vMerge w:val="restart"/>
          </w:tcPr>
          <w:p w14:paraId="6622F33D" w14:textId="77777777" w:rsidR="00572131" w:rsidRPr="00AF7158" w:rsidRDefault="00572131" w:rsidP="009125B2">
            <w:pPr>
              <w:rPr>
                <w:sz w:val="22"/>
                <w:szCs w:val="22"/>
              </w:rPr>
            </w:pPr>
            <w:r w:rsidRPr="00AF7158">
              <w:rPr>
                <w:sz w:val="22"/>
                <w:szCs w:val="22"/>
              </w:rPr>
              <w:t>Third-party distribution</w:t>
            </w:r>
          </w:p>
        </w:tc>
        <w:tc>
          <w:tcPr>
            <w:tcW w:w="2520" w:type="dxa"/>
          </w:tcPr>
          <w:p w14:paraId="65DA4778"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4 pt. 2</w:t>
            </w:r>
          </w:p>
        </w:tc>
        <w:tc>
          <w:tcPr>
            <w:tcW w:w="4500" w:type="dxa"/>
          </w:tcPr>
          <w:p w14:paraId="01F4BE68" w14:textId="77777777" w:rsidR="00572131" w:rsidRPr="00AF7158" w:rsidRDefault="00572131" w:rsidP="009125B2">
            <w:pPr>
              <w:rPr>
                <w:sz w:val="22"/>
                <w:szCs w:val="22"/>
              </w:rPr>
            </w:pPr>
            <w:r w:rsidRPr="00AF7158">
              <w:rPr>
                <w:sz w:val="22"/>
                <w:szCs w:val="22"/>
              </w:rPr>
              <w:t>Distribution modes “Warehousing” and “Upstream”</w:t>
            </w:r>
          </w:p>
        </w:tc>
      </w:tr>
      <w:tr w:rsidR="00572131" w:rsidRPr="00AF7158" w14:paraId="6B5186C6" w14:textId="77777777" w:rsidTr="00AF7158">
        <w:tc>
          <w:tcPr>
            <w:tcW w:w="2358" w:type="dxa"/>
            <w:vMerge/>
          </w:tcPr>
          <w:p w14:paraId="252EEB4C" w14:textId="77777777" w:rsidR="00572131" w:rsidRPr="00AF7158" w:rsidRDefault="00572131" w:rsidP="009125B2">
            <w:pPr>
              <w:rPr>
                <w:sz w:val="22"/>
                <w:szCs w:val="22"/>
              </w:rPr>
            </w:pPr>
          </w:p>
        </w:tc>
        <w:tc>
          <w:tcPr>
            <w:tcW w:w="2520" w:type="dxa"/>
          </w:tcPr>
          <w:p w14:paraId="14057DE1"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9</w:t>
            </w:r>
          </w:p>
        </w:tc>
        <w:tc>
          <w:tcPr>
            <w:tcW w:w="4500" w:type="dxa"/>
          </w:tcPr>
          <w:p w14:paraId="31BAEE37" w14:textId="77777777" w:rsidR="00572131" w:rsidRPr="00AF7158" w:rsidRDefault="00572131" w:rsidP="009125B2">
            <w:pPr>
              <w:rPr>
                <w:sz w:val="22"/>
                <w:szCs w:val="22"/>
              </w:rPr>
            </w:pPr>
            <w:r w:rsidRPr="00AF7158">
              <w:rPr>
                <w:sz w:val="22"/>
                <w:szCs w:val="22"/>
              </w:rPr>
              <w:t>Distribution mode “Downstream”</w:t>
            </w:r>
          </w:p>
        </w:tc>
      </w:tr>
      <w:tr w:rsidR="00572131" w:rsidRPr="00AF7158" w14:paraId="72298074" w14:textId="77777777" w:rsidTr="00AF7158">
        <w:tc>
          <w:tcPr>
            <w:tcW w:w="2358" w:type="dxa"/>
            <w:vMerge w:val="restart"/>
          </w:tcPr>
          <w:p w14:paraId="31AC4F1E" w14:textId="77777777" w:rsidR="00572131" w:rsidRPr="00AF7158" w:rsidRDefault="00572131" w:rsidP="009125B2">
            <w:pPr>
              <w:rPr>
                <w:sz w:val="22"/>
                <w:szCs w:val="22"/>
              </w:rPr>
            </w:pPr>
            <w:r w:rsidRPr="00AF7158">
              <w:rPr>
                <w:sz w:val="22"/>
                <w:szCs w:val="22"/>
              </w:rPr>
              <w:t>Business travel</w:t>
            </w:r>
          </w:p>
        </w:tc>
        <w:tc>
          <w:tcPr>
            <w:tcW w:w="2520" w:type="dxa"/>
          </w:tcPr>
          <w:p w14:paraId="3A640F09"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6 (plan A)</w:t>
            </w:r>
          </w:p>
        </w:tc>
        <w:tc>
          <w:tcPr>
            <w:tcW w:w="4500" w:type="dxa"/>
          </w:tcPr>
          <w:p w14:paraId="2BA19DA5" w14:textId="77777777" w:rsidR="00572131" w:rsidRPr="00AF7158" w:rsidRDefault="00572131" w:rsidP="009125B2">
            <w:pPr>
              <w:rPr>
                <w:sz w:val="22"/>
                <w:szCs w:val="22"/>
              </w:rPr>
            </w:pPr>
            <w:r w:rsidRPr="00AF7158">
              <w:rPr>
                <w:sz w:val="22"/>
                <w:szCs w:val="22"/>
              </w:rPr>
              <w:t>These are the emissions themselves – no EF necessary.</w:t>
            </w:r>
          </w:p>
        </w:tc>
      </w:tr>
      <w:tr w:rsidR="00572131" w:rsidRPr="00AF7158" w14:paraId="05E3C481" w14:textId="77777777" w:rsidTr="00AF7158">
        <w:tc>
          <w:tcPr>
            <w:tcW w:w="2358" w:type="dxa"/>
            <w:vMerge/>
          </w:tcPr>
          <w:p w14:paraId="3D31E737" w14:textId="77777777" w:rsidR="00572131" w:rsidRPr="00AF7158" w:rsidRDefault="00572131" w:rsidP="009125B2">
            <w:pPr>
              <w:rPr>
                <w:sz w:val="22"/>
                <w:szCs w:val="22"/>
              </w:rPr>
            </w:pPr>
          </w:p>
        </w:tc>
        <w:tc>
          <w:tcPr>
            <w:tcW w:w="2520" w:type="dxa"/>
          </w:tcPr>
          <w:p w14:paraId="3E7FF33C"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6 (plan B)</w:t>
            </w:r>
          </w:p>
        </w:tc>
        <w:tc>
          <w:tcPr>
            <w:tcW w:w="4500" w:type="dxa"/>
          </w:tcPr>
          <w:p w14:paraId="4DA31EDC" w14:textId="308F8B20" w:rsidR="00572131" w:rsidRPr="00AF7158" w:rsidRDefault="00572131" w:rsidP="00063DE7">
            <w:pPr>
              <w:rPr>
                <w:sz w:val="22"/>
                <w:szCs w:val="22"/>
              </w:rPr>
            </w:pPr>
            <w:r w:rsidRPr="00AF7158">
              <w:rPr>
                <w:sz w:val="22"/>
                <w:szCs w:val="22"/>
              </w:rPr>
              <w:t xml:space="preserve">Transport </w:t>
            </w:r>
            <w:r w:rsidR="00063DE7">
              <w:rPr>
                <w:sz w:val="22"/>
                <w:szCs w:val="22"/>
              </w:rPr>
              <w:t>activity and hotel stay $ or distance traveled/number of nights</w:t>
            </w:r>
          </w:p>
        </w:tc>
      </w:tr>
      <w:tr w:rsidR="00572131" w:rsidRPr="00AF7158" w14:paraId="16DBCEA1" w14:textId="77777777" w:rsidTr="00AF7158">
        <w:tc>
          <w:tcPr>
            <w:tcW w:w="2358" w:type="dxa"/>
          </w:tcPr>
          <w:p w14:paraId="0DF62F88" w14:textId="77777777" w:rsidR="00572131" w:rsidRPr="00AF7158" w:rsidRDefault="00572131" w:rsidP="009125B2">
            <w:pPr>
              <w:rPr>
                <w:sz w:val="22"/>
                <w:szCs w:val="22"/>
              </w:rPr>
            </w:pPr>
            <w:r w:rsidRPr="00AF7158">
              <w:rPr>
                <w:sz w:val="22"/>
                <w:szCs w:val="22"/>
              </w:rPr>
              <w:t>Sold products</w:t>
            </w:r>
          </w:p>
        </w:tc>
        <w:tc>
          <w:tcPr>
            <w:tcW w:w="2520" w:type="dxa"/>
          </w:tcPr>
          <w:p w14:paraId="388A1D65"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 xml:space="preserve">12 </w:t>
            </w:r>
          </w:p>
        </w:tc>
        <w:tc>
          <w:tcPr>
            <w:tcW w:w="4500" w:type="dxa"/>
          </w:tcPr>
          <w:p w14:paraId="25966CE2" w14:textId="6EDDB4CE" w:rsidR="00572131" w:rsidRPr="00AF7158" w:rsidRDefault="00572131" w:rsidP="009125B2">
            <w:pPr>
              <w:rPr>
                <w:sz w:val="22"/>
                <w:szCs w:val="22"/>
              </w:rPr>
            </w:pPr>
            <w:r w:rsidRPr="00AF7158">
              <w:rPr>
                <w:sz w:val="22"/>
                <w:szCs w:val="22"/>
              </w:rPr>
              <w:t xml:space="preserve">WARM </w:t>
            </w:r>
            <w:r w:rsidR="00BF0495" w:rsidRPr="00AF7158">
              <w:rPr>
                <w:sz w:val="22"/>
                <w:szCs w:val="22"/>
              </w:rPr>
              <w:t xml:space="preserve">landfilling </w:t>
            </w:r>
            <w:r w:rsidRPr="00AF7158">
              <w:rPr>
                <w:sz w:val="22"/>
                <w:szCs w:val="22"/>
              </w:rPr>
              <w:t xml:space="preserve">data </w:t>
            </w:r>
          </w:p>
        </w:tc>
      </w:tr>
      <w:tr w:rsidR="00572131" w:rsidRPr="00AF7158" w14:paraId="72C977B0" w14:textId="77777777" w:rsidTr="00AF7158">
        <w:tc>
          <w:tcPr>
            <w:tcW w:w="2358" w:type="dxa"/>
          </w:tcPr>
          <w:p w14:paraId="0992B6A1" w14:textId="77777777" w:rsidR="00572131" w:rsidRPr="00AF7158" w:rsidRDefault="00572131" w:rsidP="009125B2">
            <w:pPr>
              <w:rPr>
                <w:sz w:val="22"/>
                <w:szCs w:val="22"/>
              </w:rPr>
            </w:pPr>
            <w:r w:rsidRPr="00AF7158">
              <w:rPr>
                <w:sz w:val="22"/>
                <w:szCs w:val="22"/>
              </w:rPr>
              <w:t>Products with use stage impacts</w:t>
            </w:r>
          </w:p>
        </w:tc>
        <w:tc>
          <w:tcPr>
            <w:tcW w:w="2520" w:type="dxa"/>
          </w:tcPr>
          <w:p w14:paraId="5C75048B"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11</w:t>
            </w:r>
          </w:p>
        </w:tc>
        <w:tc>
          <w:tcPr>
            <w:tcW w:w="4500" w:type="dxa"/>
          </w:tcPr>
          <w:p w14:paraId="103C4255" w14:textId="77777777" w:rsidR="00572131" w:rsidRPr="00AF7158" w:rsidRDefault="00572131" w:rsidP="009125B2">
            <w:pPr>
              <w:rPr>
                <w:sz w:val="22"/>
                <w:szCs w:val="22"/>
              </w:rPr>
            </w:pPr>
            <w:r w:rsidRPr="00AF7158">
              <w:rPr>
                <w:sz w:val="22"/>
                <w:szCs w:val="22"/>
              </w:rPr>
              <w:t>Fuels and electricity use quantities: emissions include both indirect and direct</w:t>
            </w:r>
          </w:p>
        </w:tc>
      </w:tr>
      <w:tr w:rsidR="00572131" w:rsidRPr="00AF7158" w14:paraId="7D447FD2" w14:textId="77777777" w:rsidTr="00AF7158">
        <w:tc>
          <w:tcPr>
            <w:tcW w:w="2358" w:type="dxa"/>
          </w:tcPr>
          <w:p w14:paraId="36019FB6" w14:textId="77777777" w:rsidR="00572131" w:rsidRPr="00AF7158" w:rsidRDefault="00572131" w:rsidP="009125B2">
            <w:pPr>
              <w:rPr>
                <w:sz w:val="22"/>
                <w:szCs w:val="22"/>
              </w:rPr>
            </w:pPr>
            <w:r w:rsidRPr="00AF7158">
              <w:rPr>
                <w:sz w:val="22"/>
                <w:szCs w:val="22"/>
              </w:rPr>
              <w:t>Additional processing</w:t>
            </w:r>
          </w:p>
        </w:tc>
        <w:tc>
          <w:tcPr>
            <w:tcW w:w="2520" w:type="dxa"/>
          </w:tcPr>
          <w:p w14:paraId="7758DDDC"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10</w:t>
            </w:r>
          </w:p>
        </w:tc>
        <w:tc>
          <w:tcPr>
            <w:tcW w:w="4500" w:type="dxa"/>
          </w:tcPr>
          <w:p w14:paraId="27442B79" w14:textId="77777777" w:rsidR="00572131" w:rsidRPr="00AF7158" w:rsidRDefault="00572131" w:rsidP="009125B2">
            <w:pPr>
              <w:rPr>
                <w:sz w:val="22"/>
                <w:szCs w:val="22"/>
              </w:rPr>
            </w:pPr>
            <w:r w:rsidRPr="00AF7158">
              <w:rPr>
                <w:sz w:val="22"/>
                <w:szCs w:val="22"/>
              </w:rPr>
              <w:t>WIOD sector emissions and $</w:t>
            </w:r>
          </w:p>
        </w:tc>
      </w:tr>
      <w:tr w:rsidR="00572131" w:rsidRPr="00AF7158" w14:paraId="697CBA2F" w14:textId="77777777" w:rsidTr="00AF7158">
        <w:tc>
          <w:tcPr>
            <w:tcW w:w="2358" w:type="dxa"/>
          </w:tcPr>
          <w:p w14:paraId="47E88457" w14:textId="77777777" w:rsidR="00572131" w:rsidRPr="00AF7158" w:rsidRDefault="00572131" w:rsidP="009125B2">
            <w:pPr>
              <w:rPr>
                <w:sz w:val="22"/>
                <w:szCs w:val="22"/>
              </w:rPr>
            </w:pPr>
            <w:r w:rsidRPr="00AF7158">
              <w:rPr>
                <w:sz w:val="22"/>
                <w:szCs w:val="22"/>
              </w:rPr>
              <w:t>Downstream leased assets</w:t>
            </w:r>
          </w:p>
        </w:tc>
        <w:tc>
          <w:tcPr>
            <w:tcW w:w="2520" w:type="dxa"/>
          </w:tcPr>
          <w:p w14:paraId="3E29CA8F"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13</w:t>
            </w:r>
          </w:p>
        </w:tc>
        <w:tc>
          <w:tcPr>
            <w:tcW w:w="4500" w:type="dxa"/>
          </w:tcPr>
          <w:p w14:paraId="644C9854" w14:textId="77777777" w:rsidR="00572131" w:rsidRPr="00AF7158" w:rsidRDefault="00572131" w:rsidP="009125B2">
            <w:pPr>
              <w:rPr>
                <w:sz w:val="22"/>
                <w:szCs w:val="22"/>
              </w:rPr>
            </w:pPr>
            <w:r w:rsidRPr="00AF7158">
              <w:rPr>
                <w:sz w:val="22"/>
                <w:szCs w:val="22"/>
              </w:rPr>
              <w:t>WIOD transport mode/sector and $</w:t>
            </w:r>
          </w:p>
        </w:tc>
      </w:tr>
      <w:tr w:rsidR="00572131" w:rsidRPr="00AF7158" w14:paraId="514177AF" w14:textId="77777777" w:rsidTr="00AF7158">
        <w:tc>
          <w:tcPr>
            <w:tcW w:w="2358" w:type="dxa"/>
          </w:tcPr>
          <w:p w14:paraId="70FF9DF3" w14:textId="77777777" w:rsidR="00572131" w:rsidRPr="00AF7158" w:rsidRDefault="00572131" w:rsidP="009125B2">
            <w:pPr>
              <w:rPr>
                <w:sz w:val="22"/>
                <w:szCs w:val="22"/>
              </w:rPr>
            </w:pPr>
            <w:r w:rsidRPr="00AF7158">
              <w:rPr>
                <w:sz w:val="22"/>
                <w:szCs w:val="22"/>
              </w:rPr>
              <w:t>Franchises</w:t>
            </w:r>
          </w:p>
        </w:tc>
        <w:tc>
          <w:tcPr>
            <w:tcW w:w="2520" w:type="dxa"/>
          </w:tcPr>
          <w:p w14:paraId="195B5D4E"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14</w:t>
            </w:r>
          </w:p>
        </w:tc>
        <w:tc>
          <w:tcPr>
            <w:tcW w:w="4500" w:type="dxa"/>
          </w:tcPr>
          <w:p w14:paraId="61172DB6" w14:textId="13B37A57" w:rsidR="00572131" w:rsidRPr="00AF7158" w:rsidRDefault="00572131" w:rsidP="00BF0495">
            <w:pPr>
              <w:rPr>
                <w:sz w:val="22"/>
                <w:szCs w:val="22"/>
              </w:rPr>
            </w:pPr>
            <w:r w:rsidRPr="00AF7158">
              <w:rPr>
                <w:sz w:val="22"/>
                <w:szCs w:val="22"/>
              </w:rPr>
              <w:t xml:space="preserve">Office space </w:t>
            </w:r>
            <w:r w:rsidR="00BF0495" w:rsidRPr="00AF7158">
              <w:rPr>
                <w:sz w:val="22"/>
                <w:szCs w:val="22"/>
              </w:rPr>
              <w:t>direct emissions for electricity and fuel</w:t>
            </w:r>
          </w:p>
        </w:tc>
      </w:tr>
      <w:tr w:rsidR="00572131" w:rsidRPr="00AF7158" w14:paraId="6EE45471" w14:textId="77777777" w:rsidTr="00AF7158">
        <w:trPr>
          <w:trHeight w:val="314"/>
        </w:trPr>
        <w:tc>
          <w:tcPr>
            <w:tcW w:w="2358" w:type="dxa"/>
          </w:tcPr>
          <w:p w14:paraId="579942E0" w14:textId="77777777" w:rsidR="00572131" w:rsidRPr="00AF7158" w:rsidRDefault="00572131" w:rsidP="009125B2">
            <w:pPr>
              <w:rPr>
                <w:sz w:val="22"/>
                <w:szCs w:val="22"/>
              </w:rPr>
            </w:pPr>
            <w:r w:rsidRPr="00AF7158">
              <w:rPr>
                <w:sz w:val="22"/>
                <w:szCs w:val="22"/>
              </w:rPr>
              <w:t>Investments</w:t>
            </w:r>
          </w:p>
        </w:tc>
        <w:tc>
          <w:tcPr>
            <w:tcW w:w="2520" w:type="dxa"/>
          </w:tcPr>
          <w:p w14:paraId="2DA75E19" w14:textId="77777777" w:rsidR="00572131" w:rsidRPr="00AF7158" w:rsidRDefault="00572131" w:rsidP="009125B2">
            <w:pPr>
              <w:rPr>
                <w:sz w:val="22"/>
                <w:szCs w:val="22"/>
              </w:rPr>
            </w:pPr>
            <w:r w:rsidRPr="00AF7158">
              <w:rPr>
                <w:sz w:val="22"/>
                <w:szCs w:val="22"/>
              </w:rPr>
              <w:t>S</w:t>
            </w:r>
            <w:proofErr w:type="gramStart"/>
            <w:r w:rsidRPr="00AF7158">
              <w:rPr>
                <w:sz w:val="22"/>
                <w:szCs w:val="22"/>
              </w:rPr>
              <w:t>3,C</w:t>
            </w:r>
            <w:proofErr w:type="gramEnd"/>
            <w:r w:rsidRPr="00AF7158">
              <w:rPr>
                <w:sz w:val="22"/>
                <w:szCs w:val="22"/>
              </w:rPr>
              <w:t>15</w:t>
            </w:r>
          </w:p>
        </w:tc>
        <w:tc>
          <w:tcPr>
            <w:tcW w:w="4500" w:type="dxa"/>
          </w:tcPr>
          <w:p w14:paraId="08D1ACF1" w14:textId="77777777" w:rsidR="00572131" w:rsidRPr="00AF7158" w:rsidRDefault="00572131" w:rsidP="009125B2">
            <w:pPr>
              <w:rPr>
                <w:sz w:val="22"/>
                <w:szCs w:val="22"/>
              </w:rPr>
            </w:pPr>
            <w:r w:rsidRPr="00AF7158">
              <w:rPr>
                <w:sz w:val="22"/>
                <w:szCs w:val="22"/>
              </w:rPr>
              <w:t>WIOD sector emissions and $</w:t>
            </w:r>
          </w:p>
        </w:tc>
      </w:tr>
    </w:tbl>
    <w:p w14:paraId="48886A69" w14:textId="77777777" w:rsidR="00572131" w:rsidRPr="003D05A7" w:rsidRDefault="00572131" w:rsidP="00572131"/>
    <w:p w14:paraId="3467259F" w14:textId="77777777" w:rsidR="00572131" w:rsidRDefault="00572131" w:rsidP="00572131">
      <w:pPr>
        <w:rPr>
          <w:rFonts w:asciiTheme="majorHAnsi" w:eastAsiaTheme="majorEastAsia" w:hAnsiTheme="majorHAnsi" w:cstheme="majorBidi"/>
          <w:b/>
          <w:bCs/>
          <w:color w:val="157CAB" w:themeColor="accent1" w:themeShade="BF"/>
          <w:sz w:val="28"/>
          <w:szCs w:val="28"/>
        </w:rPr>
      </w:pPr>
      <w:r>
        <w:br w:type="page"/>
      </w:r>
    </w:p>
    <w:p w14:paraId="741B18AE" w14:textId="77777777" w:rsidR="00572131" w:rsidRPr="00916439" w:rsidRDefault="00572131" w:rsidP="00572131">
      <w:pPr>
        <w:pStyle w:val="Heading2"/>
      </w:pPr>
      <w:r w:rsidRPr="00916439">
        <w:lastRenderedPageBreak/>
        <w:t>General calculations</w:t>
      </w:r>
    </w:p>
    <w:p w14:paraId="4E8EB5D5" w14:textId="77777777" w:rsidR="00572131" w:rsidRPr="00D553FE" w:rsidRDefault="00572131" w:rsidP="00A34C0C">
      <w:pPr>
        <w:pStyle w:val="Heading3"/>
        <w:spacing w:after="120"/>
      </w:pPr>
      <w:r w:rsidRPr="00D553FE">
        <w:t>Extrapolation of user reported data to one year</w:t>
      </w:r>
    </w:p>
    <w:p w14:paraId="5E7B38FD" w14:textId="707B9BB2" w:rsidR="00E965FE" w:rsidRDefault="00572131" w:rsidP="00ED0195">
      <w:pPr>
        <w:spacing w:after="120"/>
      </w:pPr>
      <w:r>
        <w:t xml:space="preserve">Because the user can choose the time period of the data reported in this tool, and because this time period may be less than or greater than a </w:t>
      </w:r>
      <w:proofErr w:type="gramStart"/>
      <w:r>
        <w:t>12 month</w:t>
      </w:r>
      <w:proofErr w:type="gramEnd"/>
      <w:r>
        <w:t xml:space="preserve"> period required for GHG Protocol reporting, the data must be extrapolated </w:t>
      </w:r>
      <w:r w:rsidR="00695C44">
        <w:t xml:space="preserve">or normalized </w:t>
      </w:r>
      <w:r>
        <w:t xml:space="preserve">to 12 months. This </w:t>
      </w:r>
      <w:r w:rsidR="00695C44">
        <w:t>correction</w:t>
      </w:r>
      <w:r>
        <w:t xml:space="preserve"> is done using the following calculation, for all relevant categories of reporting:</w:t>
      </w:r>
    </w:p>
    <w:p w14:paraId="01FCE8CA" w14:textId="320DA4FC" w:rsidR="00E965FE" w:rsidRDefault="00572131" w:rsidP="00ED0195">
      <w:pPr>
        <w:spacing w:after="120"/>
        <w:jc w:val="center"/>
      </w:pPr>
      <w:r w:rsidRPr="00916439">
        <w:t>12</w:t>
      </w:r>
      <w:r>
        <w:t xml:space="preserve"> months</w:t>
      </w:r>
      <w:r w:rsidRPr="00916439">
        <w:t xml:space="preserve"> / (((12</w:t>
      </w:r>
      <w:r>
        <w:t xml:space="preserve"> –</w:t>
      </w:r>
      <w:r w:rsidRPr="00916439">
        <w:t xml:space="preserve"> </w:t>
      </w:r>
      <w:proofErr w:type="spellStart"/>
      <w:r w:rsidR="00F9694F">
        <w:t>m</w:t>
      </w:r>
      <w:r w:rsidR="00F9694F">
        <w:rPr>
          <w:vertAlign w:val="subscript"/>
        </w:rPr>
        <w:t>s</w:t>
      </w:r>
      <w:proofErr w:type="spellEnd"/>
      <w:r w:rsidR="00F9694F" w:rsidRPr="00916439">
        <w:t xml:space="preserve"> </w:t>
      </w:r>
      <w:r w:rsidRPr="00916439">
        <w:t>+ 1) + (</w:t>
      </w:r>
      <w:r w:rsidR="00F9694F">
        <w:t>m</w:t>
      </w:r>
      <w:r w:rsidR="00F9694F">
        <w:rPr>
          <w:vertAlign w:val="subscript"/>
        </w:rPr>
        <w:t>e</w:t>
      </w:r>
      <w:r w:rsidRPr="00916439">
        <w:t>)) + (((</w:t>
      </w:r>
      <w:r w:rsidR="00F8092D">
        <w:t>y</w:t>
      </w:r>
      <w:r w:rsidR="00F8092D">
        <w:rPr>
          <w:vertAlign w:val="subscript"/>
        </w:rPr>
        <w:t>e</w:t>
      </w:r>
      <w:r w:rsidR="00F8092D" w:rsidRPr="00916439">
        <w:t xml:space="preserve"> </w:t>
      </w:r>
      <w:r>
        <w:t>–</w:t>
      </w:r>
      <w:r w:rsidRPr="00916439">
        <w:t xml:space="preserve"> </w:t>
      </w:r>
      <w:proofErr w:type="spellStart"/>
      <w:r w:rsidR="00F8092D">
        <w:t>y</w:t>
      </w:r>
      <w:r w:rsidR="00F8092D">
        <w:rPr>
          <w:vertAlign w:val="subscript"/>
        </w:rPr>
        <w:t>s</w:t>
      </w:r>
      <w:proofErr w:type="spellEnd"/>
      <w:r w:rsidRPr="00916439">
        <w:t>) - 1) * 12))</w:t>
      </w:r>
    </w:p>
    <w:p w14:paraId="3846372D" w14:textId="5452C732" w:rsidR="00E965FE" w:rsidRDefault="00572131" w:rsidP="00ED0195">
      <w:pPr>
        <w:spacing w:after="120"/>
      </w:pPr>
      <w:r>
        <w:t>Where “</w:t>
      </w:r>
      <w:proofErr w:type="spellStart"/>
      <w:proofErr w:type="gramStart"/>
      <w:r w:rsidR="00F9694F">
        <w:t>m</w:t>
      </w:r>
      <w:r w:rsidR="00F9694F">
        <w:rPr>
          <w:vertAlign w:val="subscript"/>
        </w:rPr>
        <w:t>s</w:t>
      </w:r>
      <w:proofErr w:type="spellEnd"/>
      <w:r w:rsidR="00F9694F" w:rsidDel="00F9694F">
        <w:t xml:space="preserve"> </w:t>
      </w:r>
      <w:r>
        <w:t>”</w:t>
      </w:r>
      <w:proofErr w:type="gramEnd"/>
      <w:r>
        <w:t xml:space="preserve"> and “</w:t>
      </w:r>
      <w:r w:rsidR="00F9694F">
        <w:t>m</w:t>
      </w:r>
      <w:r w:rsidR="00F9694F">
        <w:rPr>
          <w:vertAlign w:val="subscript"/>
        </w:rPr>
        <w:t>e</w:t>
      </w:r>
      <w:r>
        <w:t>” are the numbers associated with the months of the year (e.g., June = 6) when reporting began and ended (inclusive of those months) and “</w:t>
      </w:r>
      <w:proofErr w:type="spellStart"/>
      <w:r w:rsidR="00F8092D">
        <w:t>y</w:t>
      </w:r>
      <w:r w:rsidR="00F8092D">
        <w:rPr>
          <w:vertAlign w:val="subscript"/>
        </w:rPr>
        <w:t>s</w:t>
      </w:r>
      <w:proofErr w:type="spellEnd"/>
      <w:r>
        <w:t>” and “</w:t>
      </w:r>
      <w:r w:rsidR="00F8092D">
        <w:t>y</w:t>
      </w:r>
      <w:r w:rsidR="00F8092D">
        <w:rPr>
          <w:vertAlign w:val="subscript"/>
        </w:rPr>
        <w:t>e</w:t>
      </w:r>
      <w:r w:rsidR="00F8092D" w:rsidDel="00F8092D">
        <w:t xml:space="preserve"> </w:t>
      </w:r>
      <w:r>
        <w:t>” are the years in which the reporting started and ended.</w:t>
      </w:r>
    </w:p>
    <w:p w14:paraId="78BF8E17" w14:textId="667E27F9" w:rsidR="00E965FE" w:rsidRDefault="00572131" w:rsidP="00ED0195">
      <w:pPr>
        <w:spacing w:after="120"/>
      </w:pPr>
      <w:r>
        <w:t xml:space="preserve">In the descriptions below for Scopes 1 and 2 calculations, as well as the Category calculations for Scopes 1, 2 and the fifteen Scope 3 categories, this </w:t>
      </w:r>
      <w:r w:rsidR="00695C44">
        <w:t xml:space="preserve">correction </w:t>
      </w:r>
      <w:r>
        <w:t>is implied and is not stated explicitly.</w:t>
      </w:r>
    </w:p>
    <w:p w14:paraId="542B1C05" w14:textId="437DF71C" w:rsidR="00572131" w:rsidRDefault="00572131" w:rsidP="00ED0195">
      <w:pPr>
        <w:spacing w:after="120"/>
      </w:pPr>
      <w:r>
        <w:t xml:space="preserve">In case the user inputs span a couple years (e.g., July 2010 to June 2011) the end year </w:t>
      </w:r>
      <w:r w:rsidR="00F8092D">
        <w:t>is</w:t>
      </w:r>
      <w:r>
        <w:t xml:space="preserve"> used as the conversion basis year.</w:t>
      </w:r>
      <w:r w:rsidR="00E965FE">
        <w:t xml:space="preserve"> </w:t>
      </w:r>
      <w:r>
        <w:t xml:space="preserve">The year 2000 </w:t>
      </w:r>
      <w:r w:rsidR="00F8092D">
        <w:t>is</w:t>
      </w:r>
      <w:r>
        <w:t xml:space="preserve"> the earliest start year possible.</w:t>
      </w:r>
    </w:p>
    <w:p w14:paraId="14DEC968" w14:textId="20217ED1" w:rsidR="00572131" w:rsidRDefault="00ED0195" w:rsidP="00A34C0C">
      <w:pPr>
        <w:pStyle w:val="Heading3"/>
        <w:spacing w:after="120"/>
      </w:pPr>
      <w:r>
        <w:t>Alignment of user inputs with</w:t>
      </w:r>
      <w:r w:rsidR="00572131">
        <w:t xml:space="preserve"> I/O database EFs</w:t>
      </w:r>
    </w:p>
    <w:p w14:paraId="712D6F89" w14:textId="261FB2E8" w:rsidR="00B62C3A" w:rsidRPr="00BC7C43" w:rsidRDefault="00572131" w:rsidP="00BC7C43">
      <w:pPr>
        <w:spacing w:after="120"/>
      </w:pPr>
      <w:r w:rsidRPr="00BC7C43">
        <w:t xml:space="preserve">For many of the Scope 3 categories, greenhouse gas emissions are estimated in terms of expenditures </w:t>
      </w:r>
      <w:proofErr w:type="gramStart"/>
      <w:r w:rsidRPr="00BC7C43">
        <w:t>in a given</w:t>
      </w:r>
      <w:proofErr w:type="gramEnd"/>
      <w:r w:rsidRPr="00BC7C43">
        <w:t xml:space="preserve"> economic </w:t>
      </w:r>
      <w:r w:rsidR="00915159">
        <w:t xml:space="preserve">industry or </w:t>
      </w:r>
      <w:r w:rsidRPr="00BC7C43">
        <w:t>sector</w:t>
      </w:r>
      <w:r w:rsidR="00915159">
        <w:rPr>
          <w:rStyle w:val="FootnoteReference"/>
        </w:rPr>
        <w:footnoteReference w:id="6"/>
      </w:r>
      <w:r w:rsidRPr="00BC7C43">
        <w:t>. Such calculations leverage environmental input</w:t>
      </w:r>
      <w:r w:rsidR="00F8092D">
        <w:t>-</w:t>
      </w:r>
      <w:r w:rsidRPr="00BC7C43">
        <w:t>output datasets</w:t>
      </w:r>
      <w:r w:rsidR="00F8092D">
        <w:t xml:space="preserve"> based on the World Input-Output Database (WIOD)</w:t>
      </w:r>
      <w:r w:rsidR="00F8092D">
        <w:rPr>
          <w:rStyle w:val="FootnoteReference"/>
        </w:rPr>
        <w:footnoteReference w:id="7"/>
      </w:r>
      <w:r w:rsidR="00F8092D">
        <w:t xml:space="preserve"> and the Open IO Database. </w:t>
      </w:r>
    </w:p>
    <w:p w14:paraId="7997C9D1" w14:textId="6D7D0959" w:rsidR="00B62C3A" w:rsidRPr="00BC7C43" w:rsidRDefault="00B62C3A" w:rsidP="00BC7C43">
      <w:pPr>
        <w:spacing w:after="120"/>
      </w:pPr>
      <w:r w:rsidRPr="00BC7C43">
        <w:t>When WIOD emissions datasets are used, t</w:t>
      </w:r>
      <w:r w:rsidR="00572131" w:rsidRPr="00BC7C43">
        <w:t xml:space="preserve">o align the year of user input data with the I/O data, output </w:t>
      </w:r>
      <w:r w:rsidR="00695C44">
        <w:t>price adjustments</w:t>
      </w:r>
      <w:r w:rsidR="00572131" w:rsidRPr="00BC7C43">
        <w:t xml:space="preserve"> are applied. For years 2000-2009, WIOD S</w:t>
      </w:r>
      <w:r w:rsidR="0085609D">
        <w:t xml:space="preserve">ocio-economic Accounts </w:t>
      </w:r>
      <w:r w:rsidR="00572131" w:rsidRPr="00BC7C43">
        <w:t>factors</w:t>
      </w:r>
      <w:r w:rsidR="00ED0195" w:rsidRPr="00BC7C43">
        <w:t xml:space="preserve"> </w:t>
      </w:r>
      <w:r w:rsidR="00A24EEC">
        <w:t>(July 2014 release</w:t>
      </w:r>
      <w:r w:rsidR="00A24EEC">
        <w:rPr>
          <w:rStyle w:val="FootnoteReference"/>
        </w:rPr>
        <w:footnoteReference w:id="8"/>
      </w:r>
      <w:r w:rsidR="00A24EEC">
        <w:t xml:space="preserve">) </w:t>
      </w:r>
      <w:r w:rsidR="00572131" w:rsidRPr="00BC7C43">
        <w:t>are applied, and for years 2010-</w:t>
      </w:r>
      <w:r w:rsidR="00B20FCD" w:rsidRPr="00BC7C43">
        <w:t>201</w:t>
      </w:r>
      <w:r w:rsidR="00B20FCD">
        <w:t>5</w:t>
      </w:r>
      <w:r w:rsidR="00572131" w:rsidRPr="00BC7C43">
        <w:t xml:space="preserve">, </w:t>
      </w:r>
      <w:r w:rsidR="00BE42AE">
        <w:t>price indices</w:t>
      </w:r>
      <w:r w:rsidR="00572131" w:rsidRPr="00BC7C43">
        <w:t xml:space="preserve"> from the</w:t>
      </w:r>
      <w:r w:rsidR="00BE42AE">
        <w:t xml:space="preserve"> U.S.</w:t>
      </w:r>
      <w:r w:rsidR="00572131" w:rsidRPr="00BC7C43">
        <w:t xml:space="preserve"> Bureau of Economic Analysis</w:t>
      </w:r>
      <w:r w:rsidR="00B20FCD">
        <w:t xml:space="preserve"> (</w:t>
      </w:r>
      <w:r w:rsidR="00B20FCD" w:rsidRPr="00B20FCD">
        <w:t>November 03, 2016</w:t>
      </w:r>
      <w:r w:rsidR="00B20FCD">
        <w:t xml:space="preserve"> release)</w:t>
      </w:r>
      <w:r w:rsidR="00F8092D">
        <w:rPr>
          <w:rStyle w:val="FootnoteReference"/>
        </w:rPr>
        <w:footnoteReference w:id="9"/>
      </w:r>
      <w:r w:rsidR="00ED0195" w:rsidRPr="00BC7C43">
        <w:t xml:space="preserve"> </w:t>
      </w:r>
      <w:r w:rsidR="00572131" w:rsidRPr="00BC7C43">
        <w:t xml:space="preserve">are applied. </w:t>
      </w:r>
      <w:r w:rsidR="00BE42AE">
        <w:t>It is assumed that these US-based price adjustments apply globally, and a</w:t>
      </w:r>
      <w:r w:rsidR="00572131" w:rsidRPr="00BC7C43">
        <w:t xml:space="preserve"> linear average of BEA sectors </w:t>
      </w:r>
      <w:r w:rsidR="00411E2A" w:rsidRPr="00BC7C43">
        <w:t>is</w:t>
      </w:r>
      <w:r w:rsidR="00572131" w:rsidRPr="00BC7C43">
        <w:t xml:space="preserve"> used</w:t>
      </w:r>
      <w:r w:rsidR="00BE42AE">
        <w:t xml:space="preserve"> to bridge to WIOD sectors</w:t>
      </w:r>
      <w:r w:rsidR="00572131" w:rsidRPr="00BC7C43">
        <w:t xml:space="preserve">. </w:t>
      </w:r>
    </w:p>
    <w:p w14:paraId="3EF3D4E1" w14:textId="6AFA6CC7" w:rsidR="00B62C3A" w:rsidRPr="00BC7C43" w:rsidRDefault="00B62C3A" w:rsidP="00BC7C43">
      <w:pPr>
        <w:spacing w:after="120"/>
      </w:pPr>
      <w:r w:rsidRPr="00BC7C43">
        <w:lastRenderedPageBreak/>
        <w:t>For Open IO emissions datasets, price adjustment</w:t>
      </w:r>
      <w:r w:rsidR="00BC7C43" w:rsidRPr="00BC7C43">
        <w:t>s are</w:t>
      </w:r>
      <w:r w:rsidRPr="00BC7C43">
        <w:t xml:space="preserve"> made using </w:t>
      </w:r>
      <w:r w:rsidR="00BC7C43" w:rsidRPr="00BC7C43">
        <w:t xml:space="preserve">the </w:t>
      </w:r>
      <w:r w:rsidRPr="00BC7C43">
        <w:t xml:space="preserve">BEA sector </w:t>
      </w:r>
      <w:r w:rsidRPr="00BC7C43">
        <w:rPr>
          <w:bCs/>
        </w:rPr>
        <w:t>“Waste management and remediation services”, using a 2002 base year.</w:t>
      </w:r>
    </w:p>
    <w:p w14:paraId="5CDD5335" w14:textId="4F2654F4" w:rsidR="00E965FE" w:rsidRPr="00BC7C43" w:rsidRDefault="00572131" w:rsidP="00BC7C43">
      <w:pPr>
        <w:spacing w:after="120"/>
      </w:pPr>
      <w:r w:rsidRPr="00BC7C43">
        <w:t xml:space="preserve">These factors can be found in the Price Adjustment factors table </w:t>
      </w:r>
      <w:r w:rsidR="00E965FE" w:rsidRPr="00BC7C43">
        <w:t>of the supporting spreadsheet file (available upon request).</w:t>
      </w:r>
    </w:p>
    <w:p w14:paraId="6D6D308E" w14:textId="2593F623" w:rsidR="004709E5" w:rsidRPr="00BC7C43" w:rsidRDefault="00572131" w:rsidP="00BC7C43">
      <w:pPr>
        <w:spacing w:after="120"/>
      </w:pPr>
      <w:r w:rsidRPr="00BC7C43">
        <w:t xml:space="preserve">Furthermore, the user </w:t>
      </w:r>
      <w:r w:rsidR="00F8092D">
        <w:t>is</w:t>
      </w:r>
      <w:r w:rsidRPr="00BC7C43">
        <w:t xml:space="preserve"> encouraged to input basic prices</w:t>
      </w:r>
      <w:r w:rsidR="004F12F9">
        <w:rPr>
          <w:rStyle w:val="FootnoteReference"/>
        </w:rPr>
        <w:footnoteReference w:id="10"/>
      </w:r>
      <w:r w:rsidRPr="00BC7C43">
        <w:t xml:space="preserve"> instead of purchaser prices, since purchaser prices include wholesale and transportation margins, thus often overestimating Scope 3 emissions.</w:t>
      </w:r>
      <w:r w:rsidR="004709E5" w:rsidRPr="00BC7C43">
        <w:t xml:space="preserve"> Price adjustment data </w:t>
      </w:r>
      <w:r w:rsidR="00B20FCD">
        <w:t xml:space="preserve">are not yet available for 2016 so 2015 data </w:t>
      </w:r>
      <w:r w:rsidR="00A83777">
        <w:t>are</w:t>
      </w:r>
      <w:r w:rsidR="00B20FCD">
        <w:t xml:space="preserve"> used as a proxy.</w:t>
      </w:r>
    </w:p>
    <w:p w14:paraId="60245574" w14:textId="202442C1" w:rsidR="00572131" w:rsidRDefault="00572131" w:rsidP="00B20069">
      <w:pPr>
        <w:spacing w:after="120"/>
      </w:pPr>
      <w:r w:rsidRPr="00BC7C43">
        <w:t xml:space="preserve">In the descriptions below for Scopes 1, 2 and the fifteen Scope 3 categories, such conversions </w:t>
      </w:r>
      <w:r w:rsidR="00E965FE" w:rsidRPr="00BC7C43">
        <w:t>are not explicitly stated.</w:t>
      </w:r>
    </w:p>
    <w:p w14:paraId="5B1F06CC" w14:textId="77777777" w:rsidR="00ED0195" w:rsidRPr="00707881" w:rsidRDefault="00ED0195" w:rsidP="00707881">
      <w:pPr>
        <w:spacing w:after="120"/>
        <w:rPr>
          <w:sz w:val="20"/>
          <w:szCs w:val="20"/>
        </w:rPr>
      </w:pPr>
    </w:p>
    <w:p w14:paraId="6CEF2299" w14:textId="77777777" w:rsidR="00572131" w:rsidRDefault="00572131" w:rsidP="00572131">
      <w:pPr>
        <w:pStyle w:val="Heading2"/>
      </w:pPr>
      <w:r>
        <w:t>Scope 1: Direct GHG emissions</w:t>
      </w:r>
    </w:p>
    <w:p w14:paraId="22C74902" w14:textId="5DBF5E4A" w:rsidR="00F8092D" w:rsidRPr="00A34C0C" w:rsidRDefault="00572131" w:rsidP="00A34C0C">
      <w:pPr>
        <w:spacing w:after="120"/>
        <w:rPr>
          <w:rFonts w:asciiTheme="majorHAnsi" w:eastAsiaTheme="majorEastAsia" w:hAnsiTheme="majorHAnsi" w:cstheme="majorBidi"/>
          <w:b/>
          <w:bCs/>
          <w:i/>
          <w:color w:val="1FA6E3" w:themeColor="accent1"/>
        </w:rPr>
      </w:pPr>
      <w:r w:rsidRPr="00A34C0C">
        <w:rPr>
          <w:rStyle w:val="Heading3Char"/>
          <w:i/>
        </w:rPr>
        <w:t>Calculation of direct emissions from purchased fuel for facility, and direct emissions from purchased fuel for owned vehicles</w:t>
      </w:r>
    </w:p>
    <w:p w14:paraId="1491A101" w14:textId="2A386081" w:rsidR="00E44364" w:rsidRPr="00C57D8A" w:rsidRDefault="00572131" w:rsidP="00BC7C43">
      <w:pPr>
        <w:spacing w:after="120"/>
      </w:pPr>
      <w:r w:rsidRPr="004E6F2A">
        <w:rPr>
          <w:u w:val="single"/>
        </w:rPr>
        <w:t>If user has already calculated Scope</w:t>
      </w:r>
      <w:r w:rsidR="00CA52F1" w:rsidRPr="004E6F2A">
        <w:rPr>
          <w:u w:val="single"/>
        </w:rPr>
        <w:t xml:space="preserve"> </w:t>
      </w:r>
      <w:r w:rsidRPr="004E6F2A">
        <w:rPr>
          <w:u w:val="single"/>
        </w:rPr>
        <w:t>1 and/or Scope 2 emissions</w:t>
      </w:r>
      <w:r>
        <w:t>, user enters the emissions (</w:t>
      </w:r>
      <w:r w:rsidRPr="00203CD2">
        <w:rPr>
          <w:i/>
        </w:rPr>
        <w:t>in theory, this should include both facility and owned vehicle purchased fuel emissions</w:t>
      </w:r>
      <w:r>
        <w:t>)</w:t>
      </w:r>
    </w:p>
    <w:p w14:paraId="31DA527F" w14:textId="7F13D2D4" w:rsidR="00E44364" w:rsidRPr="00BC7C43" w:rsidRDefault="00F8092D" w:rsidP="00BC7C43">
      <w:pPr>
        <w:spacing w:after="120"/>
        <w:ind w:left="720"/>
      </w:pPr>
      <w:r w:rsidRPr="00A774A1">
        <w:rPr>
          <w:u w:val="single"/>
        </w:rPr>
        <w:t>If user has</w:t>
      </w:r>
      <w:r>
        <w:rPr>
          <w:u w:val="single"/>
        </w:rPr>
        <w:t xml:space="preserve"> </w:t>
      </w:r>
      <w:r w:rsidRPr="004E6F2A">
        <w:rPr>
          <w:i/>
          <w:u w:val="single"/>
        </w:rPr>
        <w:t>not</w:t>
      </w:r>
      <w:r w:rsidRPr="00A774A1">
        <w:rPr>
          <w:u w:val="single"/>
        </w:rPr>
        <w:t xml:space="preserve"> already calculated Scope 1 and/or Scope 2 emissions</w:t>
      </w:r>
      <w:r>
        <w:rPr>
          <w:u w:val="single"/>
        </w:rPr>
        <w:t>,</w:t>
      </w:r>
      <w:r>
        <w:rPr>
          <w:b/>
        </w:rPr>
        <w:t xml:space="preserve"> </w:t>
      </w:r>
      <w:r>
        <w:t>it is</w:t>
      </w:r>
      <w:r w:rsidR="00572131" w:rsidRPr="00D35147">
        <w:rPr>
          <w:b/>
        </w:rPr>
        <w:t xml:space="preserve"> </w:t>
      </w:r>
      <w:r>
        <w:t>d</w:t>
      </w:r>
      <w:r w:rsidR="00572131">
        <w:t>etermine</w:t>
      </w:r>
      <w:r>
        <w:t>d</w:t>
      </w:r>
      <w:r w:rsidR="00572131">
        <w:t xml:space="preserve"> if </w:t>
      </w:r>
      <w:r w:rsidR="00572131" w:rsidRPr="004E6F2A">
        <w:rPr>
          <w:u w:val="single"/>
        </w:rPr>
        <w:t>instead the user has available expenditure data for thei</w:t>
      </w:r>
      <w:r w:rsidR="00BC7C43" w:rsidRPr="004E6F2A">
        <w:rPr>
          <w:u w:val="single"/>
        </w:rPr>
        <w:t>r facility operations fuel use</w:t>
      </w:r>
      <w:r w:rsidR="00F32CB5">
        <w:t>.</w:t>
      </w:r>
      <w:r w:rsidR="00BC7C43">
        <w:t xml:space="preserve"> </w:t>
      </w:r>
    </w:p>
    <w:p w14:paraId="55374C98" w14:textId="138AF747" w:rsidR="000B62D5" w:rsidRDefault="00F8092D" w:rsidP="00BC7C43">
      <w:pPr>
        <w:spacing w:after="120"/>
        <w:ind w:left="1440"/>
      </w:pPr>
      <w:r w:rsidRPr="004E6F2A">
        <w:rPr>
          <w:u w:val="single"/>
        </w:rPr>
        <w:t xml:space="preserve">If </w:t>
      </w:r>
      <w:r w:rsidR="00F32CB5">
        <w:rPr>
          <w:u w:val="single"/>
        </w:rPr>
        <w:t>yes</w:t>
      </w:r>
      <w:r w:rsidR="00F32CB5" w:rsidRPr="004E6F2A">
        <w:t xml:space="preserve">, </w:t>
      </w:r>
      <w:r w:rsidR="00F32CB5" w:rsidRPr="00F32CB5">
        <w:t>the</w:t>
      </w:r>
      <w:r w:rsidR="00572131">
        <w:t xml:space="preserve"> direct emissions</w:t>
      </w:r>
      <w:r w:rsidR="00F32CB5">
        <w:t xml:space="preserve"> are calculated for</w:t>
      </w:r>
      <w:r w:rsidR="00572131">
        <w:t xml:space="preserve"> purchased fuel for facility use</w:t>
      </w:r>
      <w:r w:rsidR="00E44364">
        <w:t xml:space="preserve"> with the fuel type, </w:t>
      </w:r>
      <w:r w:rsidR="00572131">
        <w:t>quantity and units</w:t>
      </w:r>
      <w:r w:rsidR="00E44364">
        <w:t xml:space="preserve"> selected by the user</w:t>
      </w:r>
      <w:r w:rsidR="00572131">
        <w:t xml:space="preserve">. </w:t>
      </w:r>
      <w:r w:rsidR="00E44364">
        <w:t xml:space="preserve"> </w:t>
      </w:r>
      <w:r w:rsidR="00620898">
        <w:t>Fuel types are linked</w:t>
      </w:r>
      <w:r w:rsidR="00572131" w:rsidRPr="00B739A1">
        <w:t xml:space="preserve"> to direct emissions </w:t>
      </w:r>
      <w:r w:rsidR="00572131" w:rsidRPr="00C11BB2">
        <w:t>datasets</w:t>
      </w:r>
      <w:r w:rsidR="00CE093C">
        <w:t xml:space="preserve"> </w:t>
      </w:r>
      <w:r w:rsidR="00CA52F1">
        <w:t>(USEPA 2008, MIT 2007, SCLCI 2010</w:t>
      </w:r>
      <w:r w:rsidR="00547084">
        <w:t xml:space="preserve"> in concert with IPCC 2007</w:t>
      </w:r>
      <w:r w:rsidR="00CA52F1">
        <w:t xml:space="preserve">) </w:t>
      </w:r>
      <w:r w:rsidR="00CE093C">
        <w:t>and conversion factors</w:t>
      </w:r>
      <w:r w:rsidR="00572131" w:rsidRPr="00C11BB2">
        <w:t xml:space="preserve"> from </w:t>
      </w:r>
      <w:r w:rsidR="00620898">
        <w:t>(</w:t>
      </w:r>
      <w:r w:rsidR="006A71EC">
        <w:t>MIT 2007</w:t>
      </w:r>
      <w:r w:rsidR="00620898">
        <w:t>)</w:t>
      </w:r>
      <w:r w:rsidR="006A71EC">
        <w:t xml:space="preserve"> and </w:t>
      </w:r>
      <w:r w:rsidR="00620898">
        <w:t>(</w:t>
      </w:r>
      <w:r w:rsidR="006A71EC">
        <w:t>SCLCI 2010</w:t>
      </w:r>
      <w:r w:rsidR="00620898">
        <w:t>)</w:t>
      </w:r>
      <w:r w:rsidR="006A71EC">
        <w:t>.</w:t>
      </w:r>
    </w:p>
    <w:p w14:paraId="4163A229" w14:textId="41BA77B7" w:rsidR="00066CC4" w:rsidRPr="00066CC4" w:rsidRDefault="00F8092D" w:rsidP="00066CC4">
      <w:pPr>
        <w:spacing w:after="120"/>
        <w:ind w:left="1440"/>
      </w:pPr>
      <w:r w:rsidRPr="00A774A1">
        <w:rPr>
          <w:u w:val="single"/>
        </w:rPr>
        <w:t xml:space="preserve">If </w:t>
      </w:r>
      <w:r w:rsidR="00F32CB5">
        <w:rPr>
          <w:u w:val="single"/>
        </w:rPr>
        <w:t>no</w:t>
      </w:r>
      <w:r w:rsidR="00F32CB5" w:rsidRPr="004E6F2A">
        <w:t xml:space="preserve">, </w:t>
      </w:r>
      <w:r w:rsidR="00F32CB5">
        <w:t>t</w:t>
      </w:r>
      <w:r w:rsidR="00572131">
        <w:t xml:space="preserve">he facility fuel use direct emissions </w:t>
      </w:r>
      <w:r w:rsidR="00F32CB5">
        <w:t>are</w:t>
      </w:r>
      <w:r w:rsidR="00572131">
        <w:t xml:space="preserve"> calculated based on </w:t>
      </w:r>
      <w:r w:rsidR="00321A8A" w:rsidRPr="00321A8A">
        <w:t>any o</w:t>
      </w:r>
      <w:r w:rsidR="00572131" w:rsidRPr="00321A8A">
        <w:t>wned facility type</w:t>
      </w:r>
      <w:r w:rsidR="00321A8A" w:rsidRPr="00321A8A">
        <w:t xml:space="preserve">s </w:t>
      </w:r>
      <w:r w:rsidR="00321A8A">
        <w:t xml:space="preserve">and area of space </w:t>
      </w:r>
      <w:r w:rsidR="00321A8A" w:rsidRPr="00321A8A">
        <w:t>identified by the user</w:t>
      </w:r>
      <w:r w:rsidR="00321A8A">
        <w:t xml:space="preserve">. Each facility type is linked to fuel </w:t>
      </w:r>
      <w:r w:rsidR="00B65778">
        <w:t>demand statistics (USEI</w:t>
      </w:r>
      <w:r w:rsidR="00A253C6">
        <w:t>A 2003; 2010</w:t>
      </w:r>
      <w:r w:rsidR="00321A8A">
        <w:t xml:space="preserve">). </w:t>
      </w:r>
      <w:r w:rsidR="006B5DD8">
        <w:t>Fuel d</w:t>
      </w:r>
      <w:r w:rsidR="00572131" w:rsidRPr="00C30B37">
        <w:t xml:space="preserve">irect emissions </w:t>
      </w:r>
      <w:r w:rsidR="00321A8A">
        <w:t xml:space="preserve">per unit </w:t>
      </w:r>
      <w:r w:rsidR="006B5DD8">
        <w:t>of energy</w:t>
      </w:r>
      <w:r w:rsidR="00321A8A">
        <w:t xml:space="preserve"> </w:t>
      </w:r>
      <w:r w:rsidR="00572131" w:rsidRPr="00C30B37">
        <w:t xml:space="preserve">are </w:t>
      </w:r>
      <w:r w:rsidR="00572131">
        <w:t>sourced</w:t>
      </w:r>
      <w:r w:rsidR="00572131" w:rsidRPr="00C30B37">
        <w:t xml:space="preserve"> from </w:t>
      </w:r>
      <w:r w:rsidR="00321A8A">
        <w:t>(</w:t>
      </w:r>
      <w:r w:rsidR="00572131" w:rsidRPr="00C30B37">
        <w:t>USEPA 2008</w:t>
      </w:r>
      <w:r w:rsidR="00321A8A">
        <w:t>)</w:t>
      </w:r>
      <w:r w:rsidR="00572131" w:rsidRPr="00C30B37">
        <w:t xml:space="preserve"> and </w:t>
      </w:r>
      <w:r w:rsidR="00321A8A">
        <w:t>(</w:t>
      </w:r>
      <w:r w:rsidR="00572131" w:rsidRPr="00C30B37">
        <w:t>MIT 2007</w:t>
      </w:r>
      <w:r w:rsidR="00321A8A">
        <w:t>)</w:t>
      </w:r>
      <w:r w:rsidR="00572131" w:rsidRPr="00C30B37">
        <w:t>.</w:t>
      </w:r>
    </w:p>
    <w:p w14:paraId="2650E4B9" w14:textId="298F7F39" w:rsidR="00066CC4" w:rsidRPr="00066CC4" w:rsidRDefault="00066CC4" w:rsidP="00066CC4">
      <w:pPr>
        <w:spacing w:after="120"/>
        <w:ind w:left="720"/>
      </w:pPr>
      <w:r>
        <w:t>Scope 1 also includes the direct emissions of fuel used by owned vehicles.  If the user owns or leases vehicles, then they identify the relevant vehicle types which are</w:t>
      </w:r>
      <w:r w:rsidRPr="002A0C84">
        <w:t xml:space="preserve"> linked to WRI transport direct</w:t>
      </w:r>
      <w:r w:rsidRPr="00B739A1">
        <w:t xml:space="preserve"> emissions</w:t>
      </w:r>
      <w:r>
        <w:t xml:space="preserve"> (WRI 2008). Boat and airplane emissions require an assumption about weight by the user. The reference flow quantities are the distances provided by the user.</w:t>
      </w:r>
    </w:p>
    <w:p w14:paraId="6980E978" w14:textId="47CE0715" w:rsidR="00F8092D" w:rsidRDefault="00572131" w:rsidP="006D2435">
      <w:pPr>
        <w:pStyle w:val="Heading2"/>
        <w:spacing w:after="120"/>
      </w:pPr>
      <w:r>
        <w:lastRenderedPageBreak/>
        <w:t xml:space="preserve">Scope 2: </w:t>
      </w:r>
      <w:r w:rsidR="00B65778">
        <w:t xml:space="preserve">Indirect </w:t>
      </w:r>
      <w:r w:rsidRPr="0046722D">
        <w:t>GHG emissions from consumption of purchased electricity</w:t>
      </w:r>
      <w:r>
        <w:t>,</w:t>
      </w:r>
      <w:r w:rsidR="00066CC4">
        <w:t xml:space="preserve"> heat or steam</w:t>
      </w:r>
    </w:p>
    <w:p w14:paraId="64945079" w14:textId="63B4A2AA" w:rsidR="00B65778" w:rsidRDefault="00B65778" w:rsidP="00974527">
      <w:pPr>
        <w:spacing w:after="120"/>
      </w:pPr>
      <w:r w:rsidRPr="004E6F2A">
        <w:rPr>
          <w:u w:val="single"/>
        </w:rPr>
        <w:t>I</w:t>
      </w:r>
      <w:r w:rsidR="00572131" w:rsidRPr="004E6F2A">
        <w:rPr>
          <w:u w:val="single"/>
        </w:rPr>
        <w:t>f user has already calculated their Scope 2</w:t>
      </w:r>
      <w:r w:rsidR="00F8092D" w:rsidRPr="004E6F2A">
        <w:rPr>
          <w:u w:val="single"/>
        </w:rPr>
        <w:t xml:space="preserve"> emissions</w:t>
      </w:r>
      <w:r>
        <w:t xml:space="preserve">, </w:t>
      </w:r>
      <w:r w:rsidR="00F8092D">
        <w:t xml:space="preserve">the </w:t>
      </w:r>
      <w:r>
        <w:t>user enters these emissions.</w:t>
      </w:r>
    </w:p>
    <w:p w14:paraId="6C4270AC" w14:textId="7DBA182B" w:rsidR="00B65778" w:rsidRPr="00974527" w:rsidRDefault="00F8092D" w:rsidP="00974527">
      <w:pPr>
        <w:spacing w:after="120"/>
        <w:ind w:left="720"/>
      </w:pPr>
      <w:r w:rsidRPr="004E6F2A">
        <w:rPr>
          <w:u w:val="single"/>
        </w:rPr>
        <w:t>If user has not already calculated their Scope 2 emissions</w:t>
      </w:r>
      <w:r>
        <w:t>, it is d</w:t>
      </w:r>
      <w:r w:rsidR="00572131">
        <w:t>etermine</w:t>
      </w:r>
      <w:r>
        <w:t>d</w:t>
      </w:r>
      <w:r w:rsidR="00572131">
        <w:t xml:space="preserve"> if instead the user has available expenditure data for thei</w:t>
      </w:r>
      <w:r w:rsidR="00974527">
        <w:t xml:space="preserve">r facility operations fuel use </w:t>
      </w:r>
    </w:p>
    <w:p w14:paraId="4FB290C1" w14:textId="545EF1DA" w:rsidR="00572131" w:rsidRDefault="00F8092D" w:rsidP="00974527">
      <w:pPr>
        <w:spacing w:after="120"/>
        <w:ind w:left="1440"/>
      </w:pPr>
      <w:r w:rsidRPr="004E6F2A">
        <w:rPr>
          <w:u w:val="single"/>
        </w:rPr>
        <w:t>If the user has available expenditure data</w:t>
      </w:r>
      <w:r>
        <w:t>, E</w:t>
      </w:r>
      <w:r w:rsidR="00572131">
        <w:t>missions</w:t>
      </w:r>
      <w:r>
        <w:t xml:space="preserve"> are calculated</w:t>
      </w:r>
      <w:r w:rsidR="00572131">
        <w:t xml:space="preserve"> from upstream generation of purchased electricity (Scope 2) using </w:t>
      </w:r>
      <w:r w:rsidR="00B65778" w:rsidRPr="00E905C5">
        <w:t>electricity grid and quantity information provided by the user.</w:t>
      </w:r>
      <w:r w:rsidR="00572131">
        <w:t xml:space="preserve"> </w:t>
      </w:r>
      <w:r w:rsidR="00E905C5">
        <w:t>The u</w:t>
      </w:r>
      <w:r w:rsidR="00572131">
        <w:t>ser has the</w:t>
      </w:r>
      <w:r w:rsidR="00572131" w:rsidRPr="00CE6FF7">
        <w:t xml:space="preserve"> option to specify the country of operation</w:t>
      </w:r>
      <w:r w:rsidR="00B65778">
        <w:t xml:space="preserve"> among </w:t>
      </w:r>
      <w:r w:rsidR="00E905C5">
        <w:t>the countries provided by</w:t>
      </w:r>
      <w:r w:rsidR="00B65778">
        <w:t xml:space="preserve"> GHG Protocol 2011 Scope 2 grid emissions </w:t>
      </w:r>
      <w:r w:rsidR="00E905C5">
        <w:t xml:space="preserve">supporting </w:t>
      </w:r>
      <w:r w:rsidR="00B65778">
        <w:t>data</w:t>
      </w:r>
      <w:r w:rsidR="00572131" w:rsidRPr="00CE6FF7">
        <w:t xml:space="preserve"> </w:t>
      </w:r>
      <w:r w:rsidR="00B65778">
        <w:t xml:space="preserve">(WRI 2014) </w:t>
      </w:r>
      <w:r w:rsidR="00572131">
        <w:t xml:space="preserve">or </w:t>
      </w:r>
      <w:r w:rsidR="00E905C5">
        <w:t xml:space="preserve">use a default </w:t>
      </w:r>
      <w:r w:rsidR="00572131" w:rsidRPr="00CE6FF7">
        <w:t>global-average electricity grid</w:t>
      </w:r>
      <w:r w:rsidR="00B65778">
        <w:t xml:space="preserve"> (SCLCI 2010)</w:t>
      </w:r>
      <w:r w:rsidR="00572131" w:rsidRPr="00CE6FF7">
        <w:t>.</w:t>
      </w:r>
      <w:r w:rsidR="00572131">
        <w:t xml:space="preserve"> </w:t>
      </w:r>
    </w:p>
    <w:p w14:paraId="25788FEF" w14:textId="29DB93FC" w:rsidR="00B17408" w:rsidRPr="00B17408" w:rsidRDefault="00F8092D" w:rsidP="00AF7158">
      <w:pPr>
        <w:spacing w:after="120"/>
        <w:ind w:left="1440"/>
        <w:rPr>
          <w:b/>
          <w:u w:val="single"/>
        </w:rPr>
      </w:pPr>
      <w:r w:rsidRPr="00A774A1">
        <w:rPr>
          <w:u w:val="single"/>
        </w:rPr>
        <w:t xml:space="preserve">If the user </w:t>
      </w:r>
      <w:r>
        <w:rPr>
          <w:u w:val="single"/>
        </w:rPr>
        <w:t>does not have</w:t>
      </w:r>
      <w:r w:rsidRPr="00A774A1">
        <w:rPr>
          <w:u w:val="single"/>
        </w:rPr>
        <w:t xml:space="preserve"> available expenditure data</w:t>
      </w:r>
      <w:r>
        <w:rPr>
          <w:u w:val="single"/>
        </w:rPr>
        <w:t>,</w:t>
      </w:r>
      <w:r w:rsidRPr="004E6F2A">
        <w:t xml:space="preserve"> </w:t>
      </w:r>
      <w:r>
        <w:t>a</w:t>
      </w:r>
      <w:r w:rsidR="00572131">
        <w:t xml:space="preserve">n assumption about electricity use quantity </w:t>
      </w:r>
      <w:r w:rsidR="00B41119">
        <w:t>is</w:t>
      </w:r>
      <w:r w:rsidR="00572131">
        <w:t xml:space="preserve"> based on the user’s choice of </w:t>
      </w:r>
      <w:r w:rsidR="00B41119">
        <w:t>facility type and area. Each facility type is linked to elect</w:t>
      </w:r>
      <w:r w:rsidR="00A253C6">
        <w:t>ricity demand statistics (USEIA 2003; 2010</w:t>
      </w:r>
      <w:r w:rsidR="00B41119">
        <w:t xml:space="preserve">). </w:t>
      </w:r>
      <w:r w:rsidR="00572131">
        <w:t xml:space="preserve"> </w:t>
      </w:r>
      <w:r w:rsidR="00B41119">
        <w:t xml:space="preserve">A country with average emissions </w:t>
      </w:r>
      <w:r w:rsidR="00B77779">
        <w:t>was</w:t>
      </w:r>
      <w:r w:rsidR="00B41119">
        <w:t xml:space="preserve"> used to represent the grid emissions, and </w:t>
      </w:r>
      <w:r w:rsidR="00B77779">
        <w:t xml:space="preserve">that country is linked to </w:t>
      </w:r>
      <w:r w:rsidR="00B41119">
        <w:t>GHG Protocol 2011 data</w:t>
      </w:r>
      <w:r w:rsidR="00B77779">
        <w:t xml:space="preserve"> for Scope 2 emissions</w:t>
      </w:r>
      <w:r w:rsidR="00B41119">
        <w:t xml:space="preserve"> (WRI 2014).</w:t>
      </w:r>
    </w:p>
    <w:p w14:paraId="2C82AE55" w14:textId="20A8B52D" w:rsidR="00F8092D" w:rsidRPr="00A34C0C" w:rsidRDefault="0016475F" w:rsidP="006D2435">
      <w:pPr>
        <w:pStyle w:val="Heading2"/>
        <w:spacing w:after="120"/>
      </w:pPr>
      <w:r>
        <w:t xml:space="preserve">Scope 3, </w:t>
      </w:r>
      <w:r w:rsidR="00572131">
        <w:t xml:space="preserve">Category 1: </w:t>
      </w:r>
      <w:r w:rsidR="00572131" w:rsidRPr="0057307F">
        <w:t>Purchased goods and services</w:t>
      </w:r>
    </w:p>
    <w:p w14:paraId="07187D42" w14:textId="4F4E5045" w:rsidR="00B77779" w:rsidRDefault="00572131" w:rsidP="00572131">
      <w:r w:rsidRPr="002936D5">
        <w:rPr>
          <w:b/>
          <w:bCs/>
        </w:rPr>
        <w:t xml:space="preserve">(On the PURCHASES tab) </w:t>
      </w:r>
      <w:r>
        <w:t xml:space="preserve">For </w:t>
      </w:r>
      <w:r w:rsidRPr="008A3603">
        <w:t>any purchase types identified</w:t>
      </w:r>
      <w:r>
        <w:t xml:space="preserve"> </w:t>
      </w:r>
      <w:r w:rsidR="00B77779">
        <w:t xml:space="preserve">by the user </w:t>
      </w:r>
      <w:r>
        <w:t xml:space="preserve">as </w:t>
      </w:r>
      <w:r w:rsidRPr="00B77779">
        <w:t>Standard Good</w:t>
      </w:r>
      <w:r w:rsidRPr="00365B4A">
        <w:t xml:space="preserve"> </w:t>
      </w:r>
      <w:r>
        <w:t xml:space="preserve">or </w:t>
      </w:r>
      <w:r w:rsidRPr="00B77779">
        <w:t>Service</w:t>
      </w:r>
      <w:r w:rsidR="00B77779">
        <w:t>, the s</w:t>
      </w:r>
      <w:r w:rsidRPr="00B77779">
        <w:t>ector of purchase</w:t>
      </w:r>
      <w:r>
        <w:t xml:space="preserve"> chosen by the user </w:t>
      </w:r>
      <w:r w:rsidR="00B77779">
        <w:t xml:space="preserve">is linked to a </w:t>
      </w:r>
      <w:r w:rsidR="00B77779" w:rsidRPr="00B77779">
        <w:t>2009 world multiregional estimate of average environmental impacts by region-sector</w:t>
      </w:r>
      <w:r w:rsidR="0016475F">
        <w:t xml:space="preserve"> combined with global warming potential impact assessment (Timmer 2012, IPCC 2007). The reference flow quantity is provided by the user in the form of purchase quantity in</w:t>
      </w:r>
      <w:r w:rsidR="008B1870">
        <w:t xml:space="preserve"> </w:t>
      </w:r>
      <w:r w:rsidR="00A41756">
        <w:t xml:space="preserve">basic price </w:t>
      </w:r>
      <w:r w:rsidR="0016475F">
        <w:t>USD</w:t>
      </w:r>
      <w:r w:rsidR="00B17408">
        <w:t xml:space="preserve">. </w:t>
      </w:r>
    </w:p>
    <w:p w14:paraId="2C66C454" w14:textId="033B5272" w:rsidR="00F8092D" w:rsidRPr="00A34C0C" w:rsidRDefault="0016475F" w:rsidP="006D2435">
      <w:pPr>
        <w:pStyle w:val="Heading2"/>
        <w:spacing w:after="120"/>
      </w:pPr>
      <w:r>
        <w:t xml:space="preserve">Scope 3, </w:t>
      </w:r>
      <w:r w:rsidR="00572131">
        <w:t>Category 2:</w:t>
      </w:r>
      <w:r w:rsidR="00572131" w:rsidRPr="0057307F">
        <w:t xml:space="preserve"> Capital goods</w:t>
      </w:r>
    </w:p>
    <w:p w14:paraId="1B978904" w14:textId="470FD906" w:rsidR="00572131" w:rsidRPr="00FD1228" w:rsidRDefault="00572131" w:rsidP="00572131">
      <w:r w:rsidRPr="002936D5">
        <w:rPr>
          <w:b/>
          <w:bCs/>
        </w:rPr>
        <w:t xml:space="preserve">(On the PURCHASES tab) </w:t>
      </w:r>
      <w:r>
        <w:t xml:space="preserve">For any </w:t>
      </w:r>
      <w:r w:rsidRPr="00DA7BF4">
        <w:t>purchase types</w:t>
      </w:r>
      <w:r>
        <w:t xml:space="preserve"> identified</w:t>
      </w:r>
      <w:r w:rsidR="0016475F">
        <w:t xml:space="preserve"> by the user</w:t>
      </w:r>
      <w:r>
        <w:t xml:space="preserve"> as </w:t>
      </w:r>
      <w:r w:rsidRPr="00C26856">
        <w:t>Capital Good</w:t>
      </w:r>
      <w:r w:rsidRPr="00365B4A">
        <w:t xml:space="preserve"> </w:t>
      </w:r>
      <w:r w:rsidR="0016475F">
        <w:t>(regardless of</w:t>
      </w:r>
      <w:r>
        <w:t xml:space="preserve"> </w:t>
      </w:r>
      <w:r w:rsidRPr="00C26856">
        <w:t>Direct Procurement</w:t>
      </w:r>
      <w:r w:rsidRPr="00365B4A">
        <w:t xml:space="preserve"> </w:t>
      </w:r>
      <w:r>
        <w:t>or</w:t>
      </w:r>
      <w:r w:rsidRPr="00365B4A">
        <w:t xml:space="preserve"> </w:t>
      </w:r>
      <w:r w:rsidRPr="00C26856">
        <w:t>Indirect Procurement</w:t>
      </w:r>
      <w:r w:rsidR="0016475F" w:rsidRPr="00C26856">
        <w:t>)</w:t>
      </w:r>
      <w:r>
        <w:t xml:space="preserve">, the </w:t>
      </w:r>
      <w:r w:rsidR="00C26856">
        <w:t>identified</w:t>
      </w:r>
      <w:r>
        <w:t xml:space="preserve"> </w:t>
      </w:r>
      <w:r w:rsidR="00C26856">
        <w:t>s</w:t>
      </w:r>
      <w:r w:rsidRPr="00C26856">
        <w:t>ector of purchase</w:t>
      </w:r>
      <w:r>
        <w:t xml:space="preserve"> </w:t>
      </w:r>
      <w:r w:rsidR="00C26856">
        <w:t>point</w:t>
      </w:r>
      <w:r w:rsidR="00F32CB5">
        <w:t>s</w:t>
      </w:r>
      <w:r w:rsidR="00C26856">
        <w:t xml:space="preserve"> to a </w:t>
      </w:r>
      <w:r w:rsidR="00C26856" w:rsidRPr="00B77779">
        <w:t>2009 world multiregional estimate of average environmental impacts by region-sector</w:t>
      </w:r>
      <w:r w:rsidR="00C26856">
        <w:t xml:space="preserve"> combined with global warming potential impact assessment (Timmer 2012, IPCC 2007)</w:t>
      </w:r>
      <w:r>
        <w:t xml:space="preserve">.  </w:t>
      </w:r>
      <w:r w:rsidR="008B1870">
        <w:t>The</w:t>
      </w:r>
      <w:r w:rsidR="00A41756">
        <w:t xml:space="preserve"> basic price </w:t>
      </w:r>
      <w:r>
        <w:t xml:space="preserve">USD </w:t>
      </w:r>
      <w:r w:rsidR="00C26856">
        <w:t xml:space="preserve">purchase </w:t>
      </w:r>
      <w:r>
        <w:t xml:space="preserve">quantity entered </w:t>
      </w:r>
      <w:r w:rsidR="00C26856">
        <w:t>by the user is the</w:t>
      </w:r>
      <w:r>
        <w:t xml:space="preserve"> reference flow quantity.</w:t>
      </w:r>
    </w:p>
    <w:p w14:paraId="66949990" w14:textId="1546DF19" w:rsidR="00F32CB5" w:rsidRPr="00A34C0C" w:rsidRDefault="00842C09" w:rsidP="006D2435">
      <w:pPr>
        <w:pStyle w:val="Heading2"/>
        <w:spacing w:after="120"/>
      </w:pPr>
      <w:r>
        <w:t xml:space="preserve">Scope 3, </w:t>
      </w:r>
      <w:r w:rsidR="00572131" w:rsidRPr="008E0E81">
        <w:t>Category 3:</w:t>
      </w:r>
      <w:r w:rsidR="00572131">
        <w:t xml:space="preserve"> Fuel- and energy-related activities</w:t>
      </w:r>
    </w:p>
    <w:p w14:paraId="1D68E75C" w14:textId="2F0DDDCA" w:rsidR="006814E1" w:rsidRPr="00B17408" w:rsidRDefault="00572131" w:rsidP="00B17408">
      <w:pPr>
        <w:spacing w:after="120"/>
      </w:pPr>
      <w:r w:rsidRPr="002E79C5">
        <w:rPr>
          <w:b/>
          <w:bCs/>
        </w:rPr>
        <w:t>(On the FACILITIES tab)</w:t>
      </w:r>
      <w:r>
        <w:rPr>
          <w:b/>
          <w:bCs/>
        </w:rPr>
        <w:t xml:space="preserve"> </w:t>
      </w:r>
      <w:r w:rsidR="00F32CB5">
        <w:t xml:space="preserve">It is </w:t>
      </w:r>
      <w:r w:rsidR="00F32CB5" w:rsidRPr="004E6F2A">
        <w:rPr>
          <w:u w:val="single"/>
        </w:rPr>
        <w:t>determined if the user</w:t>
      </w:r>
      <w:r w:rsidRPr="004E6F2A">
        <w:rPr>
          <w:u w:val="single"/>
        </w:rPr>
        <w:t xml:space="preserve"> has already calculated Scope 1 and 2</w:t>
      </w:r>
      <w:r w:rsidR="006814E1" w:rsidRPr="004E6F2A">
        <w:rPr>
          <w:u w:val="single"/>
        </w:rPr>
        <w:t xml:space="preserve"> emissions</w:t>
      </w:r>
      <w:r w:rsidR="006814E1">
        <w:t>:</w:t>
      </w:r>
    </w:p>
    <w:p w14:paraId="38067F98" w14:textId="54D90A81" w:rsidR="006814E1" w:rsidRPr="00F32CB5" w:rsidRDefault="00F32CB5" w:rsidP="00B17408">
      <w:pPr>
        <w:spacing w:after="120"/>
        <w:ind w:left="1080"/>
      </w:pPr>
      <w:r w:rsidRPr="004E6F2A">
        <w:rPr>
          <w:u w:val="single"/>
        </w:rPr>
        <w:lastRenderedPageBreak/>
        <w:t>If yes,</w:t>
      </w:r>
      <w:r w:rsidR="00572131" w:rsidRPr="00F32CB5">
        <w:t xml:space="preserve"> </w:t>
      </w:r>
      <w:r w:rsidR="006814E1" w:rsidRPr="00F32CB5">
        <w:t>Scope 1 emissions</w:t>
      </w:r>
      <w:r>
        <w:t xml:space="preserve"> are multiplied</w:t>
      </w:r>
      <w:r w:rsidR="006814E1" w:rsidRPr="00F32CB5">
        <w:t xml:space="preserve"> by</w:t>
      </w:r>
      <w:r w:rsidR="00572131" w:rsidRPr="00F32CB5">
        <w:t xml:space="preserve"> 0.25</w:t>
      </w:r>
      <w:r w:rsidR="00572131" w:rsidRPr="00F32CB5">
        <w:rPr>
          <w:rStyle w:val="FootnoteReference"/>
        </w:rPr>
        <w:footnoteReference w:id="11"/>
      </w:r>
      <w:r w:rsidR="00572131" w:rsidRPr="00F32CB5">
        <w:t xml:space="preserve"> and</w:t>
      </w:r>
      <w:r w:rsidR="006814E1" w:rsidRPr="00F32CB5">
        <w:t xml:space="preserve"> S</w:t>
      </w:r>
      <w:r w:rsidR="00572131" w:rsidRPr="00F32CB5">
        <w:t>cope</w:t>
      </w:r>
      <w:r w:rsidR="006814E1" w:rsidRPr="00F32CB5">
        <w:t xml:space="preserve"> </w:t>
      </w:r>
      <w:r w:rsidR="00572131" w:rsidRPr="00F32CB5">
        <w:t>2</w:t>
      </w:r>
      <w:r w:rsidR="006814E1" w:rsidRPr="00F32CB5">
        <w:t xml:space="preserve"> emissions by</w:t>
      </w:r>
      <w:r w:rsidR="00572131" w:rsidRPr="00F32CB5">
        <w:t xml:space="preserve"> 0.20</w:t>
      </w:r>
      <w:r w:rsidR="00572131" w:rsidRPr="00F32CB5">
        <w:rPr>
          <w:rStyle w:val="FootnoteReference"/>
        </w:rPr>
        <w:footnoteReference w:id="12"/>
      </w:r>
      <w:r w:rsidR="006814E1" w:rsidRPr="00F32CB5">
        <w:t>.</w:t>
      </w:r>
    </w:p>
    <w:p w14:paraId="40BB81CF" w14:textId="61538685" w:rsidR="00762603" w:rsidRPr="00B17408" w:rsidRDefault="00F32CB5" w:rsidP="00B17408">
      <w:pPr>
        <w:spacing w:after="120"/>
        <w:ind w:left="1080"/>
        <w:rPr>
          <w:b/>
        </w:rPr>
      </w:pPr>
      <w:r w:rsidRPr="004E6F2A">
        <w:rPr>
          <w:u w:val="single"/>
        </w:rPr>
        <w:t>If no,</w:t>
      </w:r>
      <w:r w:rsidR="008C365A">
        <w:t xml:space="preserve"> </w:t>
      </w:r>
      <w:r>
        <w:t>it is d</w:t>
      </w:r>
      <w:r w:rsidR="00572131">
        <w:t>etermine</w:t>
      </w:r>
      <w:r>
        <w:t>d</w:t>
      </w:r>
      <w:r w:rsidR="00572131">
        <w:t xml:space="preserve"> </w:t>
      </w:r>
      <w:r w:rsidR="00572131" w:rsidRPr="004E6F2A">
        <w:rPr>
          <w:u w:val="single"/>
        </w:rPr>
        <w:t xml:space="preserve">if user has </w:t>
      </w:r>
      <w:proofErr w:type="gramStart"/>
      <w:r w:rsidR="00572131" w:rsidRPr="004E6F2A">
        <w:rPr>
          <w:u w:val="single"/>
        </w:rPr>
        <w:t>readily-available</w:t>
      </w:r>
      <w:proofErr w:type="gramEnd"/>
      <w:r w:rsidR="00572131" w:rsidRPr="004E6F2A">
        <w:rPr>
          <w:u w:val="single"/>
        </w:rPr>
        <w:t xml:space="preserve"> expenditure data on facility fuel and electricity use</w:t>
      </w:r>
      <w:r w:rsidR="00572131">
        <w:t xml:space="preserve">: </w:t>
      </w:r>
    </w:p>
    <w:p w14:paraId="0E2478C1" w14:textId="49B3612C" w:rsidR="00572131" w:rsidRDefault="00F32CB5" w:rsidP="00B17408">
      <w:pPr>
        <w:pStyle w:val="ListParagraph"/>
        <w:spacing w:after="120"/>
        <w:ind w:left="2160"/>
      </w:pPr>
      <w:r w:rsidRPr="004E6F2A">
        <w:rPr>
          <w:u w:val="single"/>
        </w:rPr>
        <w:t>If yes</w:t>
      </w:r>
      <w:r w:rsidRPr="004E6F2A">
        <w:t xml:space="preserve">, </w:t>
      </w:r>
      <w:r>
        <w:t>u</w:t>
      </w:r>
      <w:r w:rsidR="00572131" w:rsidRPr="00F32CB5">
        <w:t>pstream</w:t>
      </w:r>
      <w:r w:rsidR="00572131">
        <w:t xml:space="preserve"> emissions </w:t>
      </w:r>
      <w:r>
        <w:t>are calculated for</w:t>
      </w:r>
      <w:r w:rsidR="00572131">
        <w:t xml:space="preserve"> purchased fuel (</w:t>
      </w:r>
      <w:r w:rsidR="00572131" w:rsidRPr="00DF3E03">
        <w:rPr>
          <w:i/>
        </w:rPr>
        <w:t>T&amp;D l</w:t>
      </w:r>
      <w:r w:rsidR="00572131">
        <w:rPr>
          <w:i/>
        </w:rPr>
        <w:t xml:space="preserve">osses and purchased electricity </w:t>
      </w:r>
      <w:r w:rsidR="00572131" w:rsidRPr="00DF3E03">
        <w:rPr>
          <w:i/>
        </w:rPr>
        <w:t>sold downstream aren’t included in this screening tool</w:t>
      </w:r>
      <w:r w:rsidR="00572131">
        <w:t>)</w:t>
      </w:r>
      <w:r w:rsidR="0003613B">
        <w:t xml:space="preserve"> using fuel types, quantities and units identified by the user.</w:t>
      </w:r>
      <w:r w:rsidR="00572131">
        <w:t xml:space="preserve"> Fuel </w:t>
      </w:r>
      <w:r w:rsidR="0003613B">
        <w:t xml:space="preserve">indirect emissions are linked </w:t>
      </w:r>
      <w:r w:rsidR="00572131">
        <w:t>to upstream emissions datasets</w:t>
      </w:r>
      <w:r w:rsidR="00D83165">
        <w:t>, which are ecoinvent v2.2 fuel datasets without direct emissions, in concert with GWP impact assessment factors (SCLI 2010, modified; IPCC 2007</w:t>
      </w:r>
      <w:r w:rsidR="0003613B">
        <w:t>)</w:t>
      </w:r>
      <w:r w:rsidR="00572131">
        <w:t xml:space="preserve">. Electricity upstream emissions are </w:t>
      </w:r>
      <w:r w:rsidR="00D83165">
        <w:t xml:space="preserve">determined by the user’s choice of country, which is </w:t>
      </w:r>
      <w:r w:rsidR="00572131">
        <w:t xml:space="preserve">linked to </w:t>
      </w:r>
      <w:r w:rsidR="00D83165">
        <w:t xml:space="preserve">custom data representing the production mix per country, adjusted to exclude </w:t>
      </w:r>
      <w:r w:rsidR="00572131">
        <w:t>direct emissions</w:t>
      </w:r>
      <w:r w:rsidR="00D83165">
        <w:t xml:space="preserve"> (e</w:t>
      </w:r>
      <w:r w:rsidR="00D83165" w:rsidRPr="00D83165">
        <w:t>mission f</w:t>
      </w:r>
      <w:r w:rsidR="00D83165">
        <w:t>actor for various fuel types * fuel m</w:t>
      </w:r>
      <w:r w:rsidR="00D83165" w:rsidRPr="00D83165">
        <w:t>ix</w:t>
      </w:r>
      <w:r w:rsidR="0003613B">
        <w:t xml:space="preserve"> (</w:t>
      </w:r>
      <w:r w:rsidR="00D83165">
        <w:t>SCLCI 2010, USEPA 2014</w:t>
      </w:r>
      <w:r w:rsidR="00A253C6">
        <w:t>a</w:t>
      </w:r>
      <w:r w:rsidR="00D83165">
        <w:t>, IPCC 2007</w:t>
      </w:r>
      <w:r w:rsidR="0003613B">
        <w:t>)</w:t>
      </w:r>
      <w:r w:rsidR="00B17408">
        <w:t>.</w:t>
      </w:r>
    </w:p>
    <w:p w14:paraId="609F96B0" w14:textId="77777777" w:rsidR="00B17408" w:rsidRDefault="00B17408" w:rsidP="00B17408">
      <w:pPr>
        <w:pStyle w:val="ListParagraph"/>
        <w:spacing w:after="120"/>
        <w:ind w:left="2160"/>
      </w:pPr>
    </w:p>
    <w:p w14:paraId="3FEF1AB8" w14:textId="01BB4C34" w:rsidR="0003613B" w:rsidRPr="002E32C0" w:rsidRDefault="00F32CB5" w:rsidP="00B17408">
      <w:pPr>
        <w:pStyle w:val="ListParagraph"/>
        <w:spacing w:after="120"/>
        <w:ind w:left="2160"/>
      </w:pPr>
      <w:r>
        <w:rPr>
          <w:u w:val="single"/>
        </w:rPr>
        <w:t>If no</w:t>
      </w:r>
      <w:r>
        <w:t xml:space="preserve">, the </w:t>
      </w:r>
      <w:r w:rsidR="00572131">
        <w:t>emissions</w:t>
      </w:r>
      <w:r>
        <w:t xml:space="preserve"> are derived</w:t>
      </w:r>
      <w:r w:rsidR="00572131">
        <w:t xml:space="preserve"> based</w:t>
      </w:r>
      <w:r w:rsidR="00762603">
        <w:t xml:space="preserve"> on the Scope 1 and 2 emissions</w:t>
      </w:r>
      <w:r w:rsidR="00572131">
        <w:t xml:space="preserve"> by applying the c</w:t>
      </w:r>
      <w:r w:rsidR="00B17408">
        <w:t>onversion factors listed above.</w:t>
      </w:r>
    </w:p>
    <w:p w14:paraId="382D1579" w14:textId="53AF83B4" w:rsidR="00572131" w:rsidRDefault="006C2D10" w:rsidP="006D2435">
      <w:pPr>
        <w:pStyle w:val="Heading2"/>
        <w:spacing w:after="120"/>
      </w:pPr>
      <w:r>
        <w:t xml:space="preserve">Scope 3, </w:t>
      </w:r>
      <w:r w:rsidR="00572131" w:rsidRPr="0057307F">
        <w:t>Category 4: Upstream transport</w:t>
      </w:r>
      <w:r w:rsidR="002C5087">
        <w:t>ation and distribution</w:t>
      </w:r>
    </w:p>
    <w:p w14:paraId="22B15B6B" w14:textId="31F3EE86" w:rsidR="00A775D5" w:rsidRPr="00A775D5" w:rsidRDefault="00572131" w:rsidP="00A775D5">
      <w:pPr>
        <w:spacing w:after="120"/>
      </w:pPr>
      <w:r w:rsidRPr="00A36A48">
        <w:rPr>
          <w:b/>
          <w:bCs/>
        </w:rPr>
        <w:t xml:space="preserve">(On the </w:t>
      </w:r>
      <w:r>
        <w:rPr>
          <w:b/>
          <w:bCs/>
        </w:rPr>
        <w:t>LOGISTICS</w:t>
      </w:r>
      <w:r w:rsidRPr="00A36A48">
        <w:rPr>
          <w:b/>
          <w:bCs/>
        </w:rPr>
        <w:t xml:space="preserve"> tab) </w:t>
      </w:r>
      <w:r w:rsidR="00A775D5" w:rsidRPr="00A775D5">
        <w:t xml:space="preserve">This </w:t>
      </w:r>
      <w:r w:rsidR="00A775D5">
        <w:t xml:space="preserve">category considers upstream third-party transport and </w:t>
      </w:r>
      <w:r w:rsidR="002C5087">
        <w:t>warehousing</w:t>
      </w:r>
      <w:r w:rsidR="00A775D5">
        <w:t>.</w:t>
      </w:r>
    </w:p>
    <w:p w14:paraId="499D53DB" w14:textId="10135B0C" w:rsidR="00A775D5" w:rsidRDefault="00A775D5" w:rsidP="00A775D5">
      <w:pPr>
        <w:spacing w:after="120"/>
      </w:pPr>
      <w:r>
        <w:t xml:space="preserve">Upstream </w:t>
      </w:r>
      <w:r w:rsidR="00572131">
        <w:t xml:space="preserve">transport is determined by </w:t>
      </w:r>
      <w:r w:rsidR="009125B2">
        <w:t>any relevant modes chosen by the user</w:t>
      </w:r>
      <w:r w:rsidR="00572131">
        <w:t>.</w:t>
      </w:r>
      <w:r w:rsidR="009125B2">
        <w:t xml:space="preserve"> Third party transport emissions factors are calculated using a </w:t>
      </w:r>
      <w:r w:rsidR="009125B2" w:rsidRPr="00B77779">
        <w:t>2009 world multiregional estimate of average environmental impacts by region-sector</w:t>
      </w:r>
      <w:r w:rsidR="009125B2">
        <w:t xml:space="preserve"> combined with global warming potential impact assessment (Timmer 2012, IPCC 2007). </w:t>
      </w:r>
      <w:r w:rsidR="00572131" w:rsidRPr="009125B2">
        <w:t xml:space="preserve"> </w:t>
      </w:r>
      <w:r w:rsidR="002C5087">
        <w:t xml:space="preserve">The reference flows are any </w:t>
      </w:r>
      <w:r w:rsidR="002C5087" w:rsidRPr="009125B2">
        <w:t>USD expenditures associated with these categories, as identified by the user.</w:t>
      </w:r>
    </w:p>
    <w:p w14:paraId="349D9D19" w14:textId="5B5B2B12" w:rsidR="00572131" w:rsidRPr="00A36A48" w:rsidRDefault="00A775D5" w:rsidP="00A775D5">
      <w:pPr>
        <w:spacing w:after="120"/>
        <w:rPr>
          <w:rFonts w:asciiTheme="majorHAnsi" w:eastAsiaTheme="majorEastAsia" w:hAnsiTheme="majorHAnsi" w:cstheme="majorBidi"/>
          <w:b/>
          <w:bCs/>
          <w:color w:val="1FA6E3" w:themeColor="accent1"/>
        </w:rPr>
      </w:pPr>
      <w:r>
        <w:t xml:space="preserve">Upstream </w:t>
      </w:r>
      <w:r w:rsidR="002C5087">
        <w:t>warehousing is determined by the user for relevant categories. Emission</w:t>
      </w:r>
      <w:r w:rsidR="009125B2">
        <w:t xml:space="preserve">s factors are represented by Open IO </w:t>
      </w:r>
      <w:r w:rsidR="00561612">
        <w:t xml:space="preserve">emissions data </w:t>
      </w:r>
      <w:r w:rsidR="009125B2">
        <w:t>(</w:t>
      </w:r>
      <w:r w:rsidR="00561612">
        <w:t>TSC 2011</w:t>
      </w:r>
      <w:r w:rsidR="009125B2">
        <w:t xml:space="preserve">). The reference flows are any </w:t>
      </w:r>
      <w:r w:rsidR="00572131" w:rsidRPr="009125B2">
        <w:t xml:space="preserve">USD </w:t>
      </w:r>
      <w:r w:rsidR="009125B2" w:rsidRPr="009125B2">
        <w:t xml:space="preserve">expenditures </w:t>
      </w:r>
      <w:r w:rsidR="00572131" w:rsidRPr="009125B2">
        <w:t xml:space="preserve">associated with </w:t>
      </w:r>
      <w:r w:rsidR="009125B2" w:rsidRPr="009125B2">
        <w:t>these categories, as identified by the user.</w:t>
      </w:r>
    </w:p>
    <w:p w14:paraId="1DA08F44" w14:textId="5F707193" w:rsidR="00572131" w:rsidRDefault="006C2D10" w:rsidP="006D2435">
      <w:pPr>
        <w:pStyle w:val="Heading2"/>
        <w:spacing w:after="120"/>
      </w:pPr>
      <w:r>
        <w:t xml:space="preserve">Scope 3, </w:t>
      </w:r>
      <w:r w:rsidR="00572131" w:rsidRPr="00122A4D">
        <w:t>Category 5: Waste generated in operations</w:t>
      </w:r>
    </w:p>
    <w:p w14:paraId="33A4EC9C" w14:textId="23AD4194" w:rsidR="00572131" w:rsidRDefault="00572131" w:rsidP="00572131">
      <w:r w:rsidRPr="005F4B93">
        <w:rPr>
          <w:b/>
          <w:bCs/>
        </w:rPr>
        <w:t>(On the FACILITIES tab)</w:t>
      </w:r>
      <w:r>
        <w:t xml:space="preserve">: </w:t>
      </w:r>
      <w:r w:rsidR="00B62C3A">
        <w:t xml:space="preserve">Based on any waste expenditure identified by the user, an </w:t>
      </w:r>
      <w:proofErr w:type="spellStart"/>
      <w:r w:rsidRPr="00504E69">
        <w:t>OpenIO</w:t>
      </w:r>
      <w:proofErr w:type="spellEnd"/>
      <w:r w:rsidR="00B62C3A">
        <w:t xml:space="preserve"> emissions </w:t>
      </w:r>
      <w:r w:rsidRPr="00504E69">
        <w:t>dataset</w:t>
      </w:r>
      <w:r>
        <w:t xml:space="preserve"> for waste management</w:t>
      </w:r>
      <w:r w:rsidR="00B62C3A">
        <w:t xml:space="preserve"> </w:t>
      </w:r>
      <w:r w:rsidR="00F32CB5">
        <w:t>is</w:t>
      </w:r>
      <w:r w:rsidR="00B62C3A">
        <w:t xml:space="preserve"> multiplied with the expenditure quantity</w:t>
      </w:r>
      <w:r w:rsidR="00BD491A">
        <w:t xml:space="preserve"> (TSC 2011). </w:t>
      </w:r>
    </w:p>
    <w:p w14:paraId="5915EC65" w14:textId="77C1EB9E" w:rsidR="00572131" w:rsidRDefault="006C2D10" w:rsidP="006D2435">
      <w:pPr>
        <w:pStyle w:val="Heading2"/>
        <w:spacing w:after="120"/>
      </w:pPr>
      <w:r>
        <w:lastRenderedPageBreak/>
        <w:t xml:space="preserve">Scope 3, </w:t>
      </w:r>
      <w:r w:rsidR="00572131" w:rsidRPr="0057307F">
        <w:t>Category 6: Business travel</w:t>
      </w:r>
      <w:r w:rsidR="00572131">
        <w:t xml:space="preserve"> </w:t>
      </w:r>
    </w:p>
    <w:p w14:paraId="391AC2B9" w14:textId="48B98103" w:rsidR="00572131" w:rsidRDefault="00572131" w:rsidP="00B17408">
      <w:pPr>
        <w:spacing w:after="120"/>
      </w:pPr>
      <w:r w:rsidRPr="00B426C4">
        <w:rPr>
          <w:b/>
        </w:rPr>
        <w:t>(On the TRAVEL tab)</w:t>
      </w:r>
      <w:r w:rsidRPr="00B426C4">
        <w:t>:</w:t>
      </w:r>
      <w:r>
        <w:t xml:space="preserve"> </w:t>
      </w:r>
      <w:r w:rsidR="00F32CB5">
        <w:t>It is d</w:t>
      </w:r>
      <w:r>
        <w:t>etermine</w:t>
      </w:r>
      <w:r w:rsidR="00F32CB5">
        <w:t>d</w:t>
      </w:r>
      <w:r>
        <w:t xml:space="preserve"> </w:t>
      </w:r>
      <w:r w:rsidRPr="00D96937">
        <w:rPr>
          <w:u w:val="single"/>
        </w:rPr>
        <w:t>if the user has already calculated business travel emissions and has the results available</w:t>
      </w:r>
      <w:r>
        <w:t xml:space="preserve">: </w:t>
      </w:r>
    </w:p>
    <w:p w14:paraId="52ACF97D" w14:textId="6AB1B3FE" w:rsidR="00572131" w:rsidRDefault="00F32CB5" w:rsidP="00B17408">
      <w:pPr>
        <w:spacing w:after="120"/>
        <w:ind w:firstLine="720"/>
      </w:pPr>
      <w:r>
        <w:rPr>
          <w:u w:val="single"/>
        </w:rPr>
        <w:t>If yes</w:t>
      </w:r>
      <w:r>
        <w:t>,</w:t>
      </w:r>
      <w:r w:rsidR="00572131">
        <w:t xml:space="preserve"> </w:t>
      </w:r>
      <w:r>
        <w:t>t</w:t>
      </w:r>
      <w:r w:rsidR="00572131">
        <w:t>he units of CO</w:t>
      </w:r>
      <w:r w:rsidR="00572131" w:rsidRPr="00B17408">
        <w:rPr>
          <w:vertAlign w:val="subscript"/>
        </w:rPr>
        <w:t>2</w:t>
      </w:r>
      <w:r w:rsidR="00572131">
        <w:t xml:space="preserve">-eq </w:t>
      </w:r>
      <w:r w:rsidR="00D96937">
        <w:t xml:space="preserve">are </w:t>
      </w:r>
      <w:r w:rsidR="00B17408">
        <w:t>used</w:t>
      </w:r>
      <w:r w:rsidR="00572131">
        <w:t xml:space="preserve"> directly and no </w:t>
      </w:r>
      <w:r w:rsidR="00B17408">
        <w:t>dataset</w:t>
      </w:r>
      <w:r w:rsidR="00572131">
        <w:t xml:space="preserve"> is needed. </w:t>
      </w:r>
    </w:p>
    <w:p w14:paraId="50EC18C9" w14:textId="1BA3A43A" w:rsidR="00572131" w:rsidRPr="00E84920" w:rsidRDefault="00F32CB5" w:rsidP="00B17408">
      <w:pPr>
        <w:spacing w:after="120"/>
        <w:ind w:left="720"/>
      </w:pPr>
      <w:r>
        <w:rPr>
          <w:u w:val="single"/>
        </w:rPr>
        <w:t>If no</w:t>
      </w:r>
      <w:r>
        <w:t>, the u</w:t>
      </w:r>
      <w:r w:rsidR="00572131">
        <w:t xml:space="preserve">ser selects </w:t>
      </w:r>
      <w:r w:rsidR="009958BF">
        <w:t>b</w:t>
      </w:r>
      <w:r w:rsidR="00572131" w:rsidRPr="00691A0B">
        <w:t xml:space="preserve">usiness travel </w:t>
      </w:r>
      <w:r w:rsidR="0084749D">
        <w:t>activity</w:t>
      </w:r>
      <w:r w:rsidR="0084749D" w:rsidRPr="00691A0B">
        <w:t xml:space="preserve"> </w:t>
      </w:r>
      <w:r w:rsidR="00572131" w:rsidRPr="00691A0B">
        <w:t>type</w:t>
      </w:r>
      <w:r w:rsidR="0084749D">
        <w:t xml:space="preserve">, and then chooses whether to enter spend or distance/distance per person data for transport </w:t>
      </w:r>
      <w:proofErr w:type="gramStart"/>
      <w:r w:rsidR="0084749D">
        <w:t>activities, and</w:t>
      </w:r>
      <w:proofErr w:type="gramEnd"/>
      <w:r w:rsidR="0084749D">
        <w:t xml:space="preserve"> spend or number of nights for hotel stays. The spend data are</w:t>
      </w:r>
      <w:r w:rsidR="00691A0B">
        <w:t xml:space="preserve"> linked to a </w:t>
      </w:r>
      <w:r w:rsidR="00691A0B" w:rsidRPr="00B77779">
        <w:t>2009 world multiregional estimate of average environmental impacts by region-sector</w:t>
      </w:r>
      <w:r w:rsidR="00691A0B">
        <w:t xml:space="preserve"> combined with global warming potential impact assessment (Timmer 2012, IPCC 2007)</w:t>
      </w:r>
      <w:r w:rsidR="00572131">
        <w:t>. The</w:t>
      </w:r>
      <w:r w:rsidR="00116F19">
        <w:t xml:space="preserve"> </w:t>
      </w:r>
      <w:r w:rsidR="00A41756">
        <w:t xml:space="preserve">basic price </w:t>
      </w:r>
      <w:r w:rsidR="00572131" w:rsidRPr="00691A0B">
        <w:t xml:space="preserve">USD associated with </w:t>
      </w:r>
      <w:r w:rsidR="009958BF">
        <w:t>each</w:t>
      </w:r>
      <w:r w:rsidR="00572131" w:rsidRPr="00691A0B">
        <w:t xml:space="preserve"> transport mode </w:t>
      </w:r>
      <w:r w:rsidR="00691A0B">
        <w:t>is the</w:t>
      </w:r>
      <w:r w:rsidR="00572131">
        <w:t xml:space="preserve"> reference flow.</w:t>
      </w:r>
      <w:r w:rsidR="0084749D">
        <w:t xml:space="preserve"> The distance/distance per person data are linked to process-based emissions factors for each mode of transport (DEFRA 2016) and the number of nights </w:t>
      </w:r>
      <w:proofErr w:type="gramStart"/>
      <w:r w:rsidR="0084749D">
        <w:t>are</w:t>
      </w:r>
      <w:proofErr w:type="gramEnd"/>
      <w:r w:rsidR="0084749D">
        <w:t xml:space="preserve"> linked to a country-weighted mean factor based on number of hotel rooms available (</w:t>
      </w:r>
      <w:proofErr w:type="spellStart"/>
      <w:r w:rsidR="0084749D">
        <w:t>R</w:t>
      </w:r>
      <w:r w:rsidR="0031441A">
        <w:t>i</w:t>
      </w:r>
      <w:r w:rsidR="0084749D">
        <w:t>caurte</w:t>
      </w:r>
      <w:proofErr w:type="spellEnd"/>
      <w:r w:rsidR="0084749D">
        <w:t xml:space="preserve"> 2016).</w:t>
      </w:r>
    </w:p>
    <w:p w14:paraId="0C7FB1D6" w14:textId="6578F6B8" w:rsidR="00572131" w:rsidRDefault="006C2D10" w:rsidP="006D2435">
      <w:pPr>
        <w:pStyle w:val="Heading2"/>
        <w:spacing w:after="120"/>
      </w:pPr>
      <w:r>
        <w:t xml:space="preserve">Scope 3, </w:t>
      </w:r>
      <w:r w:rsidR="00572131" w:rsidRPr="0057307F">
        <w:t>Category 7: Employee commuting</w:t>
      </w:r>
    </w:p>
    <w:p w14:paraId="74541EEB" w14:textId="77777777" w:rsidR="00F13CF7" w:rsidRDefault="00572131" w:rsidP="00572131">
      <w:r w:rsidRPr="00B426C4">
        <w:rPr>
          <w:b/>
        </w:rPr>
        <w:t xml:space="preserve">(On the </w:t>
      </w:r>
      <w:r>
        <w:rPr>
          <w:b/>
        </w:rPr>
        <w:t>GENERAL</w:t>
      </w:r>
      <w:r w:rsidRPr="00B426C4">
        <w:rPr>
          <w:b/>
        </w:rPr>
        <w:t xml:space="preserve"> tab)</w:t>
      </w:r>
      <w:r w:rsidRPr="00B426C4">
        <w:t>:</w:t>
      </w:r>
      <w:r>
        <w:t xml:space="preserve">  </w:t>
      </w:r>
      <w:r w:rsidRPr="00C17266">
        <w:t>Using</w:t>
      </w:r>
      <w:r>
        <w:t xml:space="preserve"> US Department of Transportation</w:t>
      </w:r>
      <w:r w:rsidR="00BA1B2E">
        <w:t xml:space="preserve"> data (USDOT 2014)</w:t>
      </w:r>
      <w:r>
        <w:t>, in conjunction with ecoinvent 2.2 datasets for various transportation modes</w:t>
      </w:r>
      <w:r w:rsidR="009958BF">
        <w:t xml:space="preserve"> in conjunction with GWP impact assessment</w:t>
      </w:r>
      <w:r w:rsidR="00BA1B2E">
        <w:t xml:space="preserve"> (SCLCI 2010</w:t>
      </w:r>
      <w:r w:rsidR="009958BF">
        <w:t>, IPCC 2007</w:t>
      </w:r>
      <w:r w:rsidR="00BA1B2E">
        <w:t>)</w:t>
      </w:r>
      <w:r>
        <w:t>, as well as some assumptions about commuting and work schedules</w:t>
      </w:r>
      <w:r>
        <w:rPr>
          <w:rStyle w:val="FootnoteReference"/>
        </w:rPr>
        <w:footnoteReference w:id="13"/>
      </w:r>
      <w:r>
        <w:t xml:space="preserve">, it is estimated that the average employee </w:t>
      </w:r>
      <w:r w:rsidR="00BA1B2E">
        <w:t xml:space="preserve">emits </w:t>
      </w:r>
      <w:r>
        <w:t>1</w:t>
      </w:r>
      <w:r w:rsidR="00BA31A1">
        <w:t>,700</w:t>
      </w:r>
      <w:r>
        <w:t xml:space="preserve"> kgCO</w:t>
      </w:r>
      <w:r w:rsidRPr="00C17266">
        <w:rPr>
          <w:vertAlign w:val="subscript"/>
        </w:rPr>
        <w:t>2</w:t>
      </w:r>
      <w:r>
        <w:t xml:space="preserve">-eq/year. </w:t>
      </w:r>
      <w:r w:rsidR="00F13CF7">
        <w:t xml:space="preserve">Please note that these driving distances and modal splits are only typical of those in the US, and these are likely to vary considerably depending on not only country but location of corporate facilities relative to residences. </w:t>
      </w:r>
    </w:p>
    <w:p w14:paraId="19D617EA" w14:textId="0B676948" w:rsidR="00572131" w:rsidRPr="006A2E2C" w:rsidRDefault="00BA1B2E" w:rsidP="00572131">
      <w:pPr>
        <w:rPr>
          <w:rFonts w:asciiTheme="majorHAnsi" w:eastAsiaTheme="majorEastAsia" w:hAnsiTheme="majorHAnsi" w:cstheme="majorBidi"/>
          <w:b/>
          <w:bCs/>
          <w:color w:val="1FA6E3" w:themeColor="accent1"/>
        </w:rPr>
      </w:pPr>
      <w:r w:rsidRPr="006A2E2C">
        <w:t>The</w:t>
      </w:r>
      <w:r>
        <w:t xml:space="preserve"> reference flow </w:t>
      </w:r>
      <w:r w:rsidRPr="00C17266">
        <w:t xml:space="preserve">quantity </w:t>
      </w:r>
      <w:r>
        <w:t>is</w:t>
      </w:r>
      <w:r w:rsidRPr="00C17266">
        <w:t xml:space="preserve"> the </w:t>
      </w:r>
      <w:r w:rsidR="009262BE">
        <w:t xml:space="preserve">average value of the </w:t>
      </w:r>
      <w:r>
        <w:t>e</w:t>
      </w:r>
      <w:r w:rsidRPr="00BA1B2E">
        <w:t xml:space="preserve">mployee number range </w:t>
      </w:r>
      <w:r>
        <w:t>provided by the user</w:t>
      </w:r>
      <w:r w:rsidRPr="00C17266">
        <w:t xml:space="preserve">.  </w:t>
      </w:r>
    </w:p>
    <w:p w14:paraId="45603630" w14:textId="6C9DE774" w:rsidR="00572131" w:rsidRPr="006B15EC" w:rsidRDefault="006C2D10" w:rsidP="006D2435">
      <w:pPr>
        <w:pStyle w:val="Heading2"/>
        <w:spacing w:after="120"/>
        <w:rPr>
          <w:rStyle w:val="Heading3Char"/>
          <w:b/>
          <w:bCs/>
        </w:rPr>
      </w:pPr>
      <w:r>
        <w:t xml:space="preserve">Scope 3, </w:t>
      </w:r>
      <w:r w:rsidR="00572131" w:rsidRPr="0057307F">
        <w:t>Category 8: Upstream leased assets</w:t>
      </w:r>
      <w:r w:rsidR="00572131">
        <w:t xml:space="preserve"> (vehicles, facilities)</w:t>
      </w:r>
    </w:p>
    <w:p w14:paraId="170BA289" w14:textId="3F89A4E8" w:rsidR="00572131" w:rsidRDefault="00572131" w:rsidP="00572131">
      <w:r w:rsidRPr="00F003AC">
        <w:rPr>
          <w:b/>
        </w:rPr>
        <w:t>Leased vehicle emissions (On the LOGISTICS tab)</w:t>
      </w:r>
      <w:r w:rsidRPr="00B426C4">
        <w:t>:</w:t>
      </w:r>
      <w:r>
        <w:t xml:space="preserve">  Determine if the user owns or leases vehicles and hadn’t already included </w:t>
      </w:r>
      <w:r w:rsidR="00BA1B2E">
        <w:t>such fuel purchases in Scope 1.  I</w:t>
      </w:r>
      <w:r>
        <w:t xml:space="preserve">ncorporate </w:t>
      </w:r>
      <w:r w:rsidR="00BA1B2E">
        <w:t>any leased vehicle direct f</w:t>
      </w:r>
      <w:r w:rsidRPr="00BA1B2E">
        <w:t>uel emissions</w:t>
      </w:r>
      <w:r w:rsidR="00BA1B2E">
        <w:t>, which are</w:t>
      </w:r>
      <w:r>
        <w:t xml:space="preserve"> </w:t>
      </w:r>
      <w:r w:rsidRPr="003A4C9A">
        <w:t>linked to WRI transport sector emissions per mile</w:t>
      </w:r>
      <w:r w:rsidR="00691A0B">
        <w:t xml:space="preserve"> (WRI 2008).</w:t>
      </w:r>
      <w:r w:rsidR="00691A0B" w:rsidRPr="003A4C9A">
        <w:t xml:space="preserve"> </w:t>
      </w:r>
      <w:r w:rsidR="00BA1B2E">
        <w:t>L</w:t>
      </w:r>
      <w:r w:rsidR="00691A0B">
        <w:t>eased vehicle m</w:t>
      </w:r>
      <w:r w:rsidRPr="00691A0B">
        <w:t>iles</w:t>
      </w:r>
      <w:r>
        <w:t xml:space="preserve"> </w:t>
      </w:r>
      <w:r w:rsidR="00BA1B2E">
        <w:t xml:space="preserve">provided by the user </w:t>
      </w:r>
      <w:r w:rsidR="00691A0B">
        <w:t>are the</w:t>
      </w:r>
      <w:r>
        <w:t xml:space="preserve"> reference flow quantity. For </w:t>
      </w:r>
      <w:r w:rsidR="00656559">
        <w:t xml:space="preserve">water </w:t>
      </w:r>
      <w:r>
        <w:t>and air</w:t>
      </w:r>
      <w:r w:rsidR="00656559">
        <w:t xml:space="preserve"> freight</w:t>
      </w:r>
      <w:r>
        <w:t xml:space="preserve"> transport, this flow </w:t>
      </w:r>
      <w:r w:rsidR="00F32CB5">
        <w:t>is</w:t>
      </w:r>
      <w:r>
        <w:t xml:space="preserve"> multiplied by weight </w:t>
      </w:r>
      <w:r w:rsidR="00DF5220">
        <w:t>of transported goods provided by the user.</w:t>
      </w:r>
    </w:p>
    <w:p w14:paraId="2784D350" w14:textId="77777777" w:rsidR="00691A0B" w:rsidRDefault="00691A0B" w:rsidP="00572131"/>
    <w:p w14:paraId="5D31644A" w14:textId="4CC3A9C9" w:rsidR="006B5DD8" w:rsidRPr="006B5DD8" w:rsidRDefault="00572131" w:rsidP="00572131">
      <w:pPr>
        <w:rPr>
          <w:b/>
          <w:u w:val="single"/>
        </w:rPr>
      </w:pPr>
      <w:r w:rsidRPr="00F003AC">
        <w:rPr>
          <w:b/>
        </w:rPr>
        <w:t xml:space="preserve">Leased </w:t>
      </w:r>
      <w:r>
        <w:rPr>
          <w:b/>
        </w:rPr>
        <w:t xml:space="preserve">facility </w:t>
      </w:r>
      <w:r w:rsidRPr="00F003AC">
        <w:rPr>
          <w:b/>
        </w:rPr>
        <w:t xml:space="preserve">emissions (On the </w:t>
      </w:r>
      <w:r>
        <w:rPr>
          <w:b/>
        </w:rPr>
        <w:t>FACILITIES</w:t>
      </w:r>
      <w:r w:rsidRPr="00F003AC">
        <w:rPr>
          <w:b/>
        </w:rPr>
        <w:t xml:space="preserve"> tab)</w:t>
      </w:r>
      <w:r w:rsidRPr="00B426C4">
        <w:t>:</w:t>
      </w:r>
      <w:r>
        <w:t xml:space="preserve"> (</w:t>
      </w:r>
      <w:r w:rsidRPr="00F003AC">
        <w:rPr>
          <w:i/>
        </w:rPr>
        <w:t>Assuming the landlord pays the electricity bill and not the user</w:t>
      </w:r>
      <w:r>
        <w:t xml:space="preserve">) If the user leases facility space, </w:t>
      </w:r>
      <w:r w:rsidR="006B5DD8">
        <w:t xml:space="preserve">facility fuel </w:t>
      </w:r>
      <w:r w:rsidR="00D56E7B">
        <w:t xml:space="preserve">and electricity </w:t>
      </w:r>
      <w:r w:rsidR="006B5DD8">
        <w:t xml:space="preserve">use direct emissions </w:t>
      </w:r>
      <w:r w:rsidR="00D56E7B">
        <w:t>are</w:t>
      </w:r>
      <w:r w:rsidR="006B5DD8">
        <w:t xml:space="preserve"> calculated based on </w:t>
      </w:r>
      <w:r w:rsidR="006B5DD8" w:rsidRPr="00321A8A">
        <w:t xml:space="preserve">any owned facility types </w:t>
      </w:r>
      <w:r w:rsidR="006B5DD8">
        <w:t xml:space="preserve">and area of space </w:t>
      </w:r>
      <w:r w:rsidR="006B5DD8" w:rsidRPr="00321A8A">
        <w:t>identified by the user</w:t>
      </w:r>
      <w:r w:rsidR="006B5DD8">
        <w:t>. Each facility type is linked to fuel and electricity demand statistics</w:t>
      </w:r>
      <w:r w:rsidR="00656559">
        <w:t xml:space="preserve"> for the United States</w:t>
      </w:r>
      <w:r w:rsidR="006B5DD8">
        <w:t xml:space="preserve"> (</w:t>
      </w:r>
      <w:r w:rsidR="00A253C6">
        <w:t>USEIA 2003; 2010</w:t>
      </w:r>
      <w:r w:rsidR="006B5DD8">
        <w:t>). Fuel d</w:t>
      </w:r>
      <w:r w:rsidR="006B5DD8" w:rsidRPr="00C30B37">
        <w:t xml:space="preserve">irect emissions </w:t>
      </w:r>
      <w:r w:rsidR="006B5DD8">
        <w:t xml:space="preserve">per unit of energy </w:t>
      </w:r>
      <w:r w:rsidR="006B5DD8" w:rsidRPr="00C30B37">
        <w:t xml:space="preserve">are </w:t>
      </w:r>
      <w:r w:rsidR="006B5DD8">
        <w:lastRenderedPageBreak/>
        <w:t>sourced</w:t>
      </w:r>
      <w:r w:rsidR="006B5DD8" w:rsidRPr="00C30B37">
        <w:t xml:space="preserve"> from </w:t>
      </w:r>
      <w:r w:rsidR="006B5DD8">
        <w:t>(</w:t>
      </w:r>
      <w:r w:rsidR="006B5DD8" w:rsidRPr="00C30B37">
        <w:t>USEPA 2008</w:t>
      </w:r>
      <w:r w:rsidR="006B5DD8">
        <w:t>)</w:t>
      </w:r>
      <w:r w:rsidR="006B5DD8" w:rsidRPr="00C30B37">
        <w:t xml:space="preserve"> and </w:t>
      </w:r>
      <w:r w:rsidR="006B5DD8">
        <w:t>(</w:t>
      </w:r>
      <w:r w:rsidR="006B5DD8" w:rsidRPr="00C30B37">
        <w:t>MIT 2007</w:t>
      </w:r>
      <w:r w:rsidR="006B5DD8">
        <w:t>)</w:t>
      </w:r>
      <w:r w:rsidR="006B5DD8" w:rsidRPr="00C30B37">
        <w:t>.</w:t>
      </w:r>
      <w:r w:rsidR="006B5DD8" w:rsidRPr="00AD61DE">
        <w:rPr>
          <w:b/>
        </w:rPr>
        <w:t xml:space="preserve"> </w:t>
      </w:r>
      <w:r w:rsidR="006B5DD8">
        <w:t>Electricity direct emissions are estimated with an average-emission country proxy, which is linked to GHG Protocol 2011 data for Scope 2 emissions (WRI 2014).</w:t>
      </w:r>
    </w:p>
    <w:p w14:paraId="742DA675" w14:textId="00C53B97" w:rsidR="00572131" w:rsidRDefault="006C2D10" w:rsidP="006D2435">
      <w:pPr>
        <w:pStyle w:val="Heading2"/>
        <w:spacing w:after="120"/>
      </w:pPr>
      <w:r>
        <w:t xml:space="preserve">Scope 3, </w:t>
      </w:r>
      <w:r w:rsidR="00572131" w:rsidRPr="0057307F">
        <w:t>Category 9: Downstream T&amp;D</w:t>
      </w:r>
    </w:p>
    <w:p w14:paraId="1657CFBE" w14:textId="42305893" w:rsidR="00572131" w:rsidRPr="00A36A48" w:rsidRDefault="00572131" w:rsidP="00572131">
      <w:pPr>
        <w:rPr>
          <w:rFonts w:asciiTheme="majorHAnsi" w:eastAsiaTheme="majorEastAsia" w:hAnsiTheme="majorHAnsi" w:cstheme="majorBidi"/>
          <w:b/>
          <w:bCs/>
          <w:color w:val="1FA6E3" w:themeColor="accent1"/>
        </w:rPr>
      </w:pPr>
      <w:r w:rsidRPr="00A36A48">
        <w:rPr>
          <w:b/>
          <w:bCs/>
        </w:rPr>
        <w:t xml:space="preserve">(On the </w:t>
      </w:r>
      <w:r>
        <w:rPr>
          <w:b/>
          <w:bCs/>
        </w:rPr>
        <w:t>LOGISTICS</w:t>
      </w:r>
      <w:r w:rsidRPr="00A36A48">
        <w:rPr>
          <w:b/>
          <w:bCs/>
        </w:rPr>
        <w:t xml:space="preserve"> tab) </w:t>
      </w:r>
      <w:r>
        <w:t>Third party downstream distribution is determined by any “Downstream transportation and distribution” selected</w:t>
      </w:r>
      <w:r w:rsidR="00892A3A">
        <w:t xml:space="preserve"> by the user, which is linked to an Open IO emissions dataset (TSC 2011)</w:t>
      </w:r>
      <w:r>
        <w:t>.</w:t>
      </w:r>
      <w:r w:rsidRPr="00892A3A">
        <w:t xml:space="preserve"> </w:t>
      </w:r>
      <w:r w:rsidR="00892A3A">
        <w:t>The expenditure provided by the user</w:t>
      </w:r>
      <w:r>
        <w:t xml:space="preserve"> </w:t>
      </w:r>
      <w:r w:rsidR="00892A3A" w:rsidRPr="00892A3A">
        <w:t xml:space="preserve">is the reference </w:t>
      </w:r>
      <w:r>
        <w:t>flow quantity.</w:t>
      </w:r>
    </w:p>
    <w:p w14:paraId="41C95B9A" w14:textId="298BB971" w:rsidR="00572131" w:rsidRDefault="006C2D10" w:rsidP="006D2435">
      <w:pPr>
        <w:pStyle w:val="Heading2"/>
        <w:spacing w:after="120"/>
      </w:pPr>
      <w:r>
        <w:t xml:space="preserve">Scope 3, </w:t>
      </w:r>
      <w:r w:rsidR="00572131" w:rsidRPr="0057307F">
        <w:t>Category 10: Processing of sold products</w:t>
      </w:r>
    </w:p>
    <w:p w14:paraId="64CC09E5" w14:textId="373E2BEA" w:rsidR="00572131" w:rsidRPr="009A489A" w:rsidRDefault="00572131" w:rsidP="00572131">
      <w:r w:rsidRPr="00AC035B">
        <w:rPr>
          <w:b/>
        </w:rPr>
        <w:t>(On the CUSTOMER tab):</w:t>
      </w:r>
      <w:r>
        <w:t xml:space="preserve"> If any product</w:t>
      </w:r>
      <w:r w:rsidR="00C0664B">
        <w:t xml:space="preserve">s require additional processing, the </w:t>
      </w:r>
      <w:r>
        <w:t xml:space="preserve">related </w:t>
      </w:r>
      <w:r w:rsidR="00C0664B">
        <w:t>product s</w:t>
      </w:r>
      <w:r w:rsidRPr="00C0664B">
        <w:t>ector</w:t>
      </w:r>
      <w:r>
        <w:t xml:space="preserve"> cho</w:t>
      </w:r>
      <w:r w:rsidR="00C0664B">
        <w:t>sen by the user point</w:t>
      </w:r>
      <w:r w:rsidR="00F32CB5">
        <w:t>s</w:t>
      </w:r>
      <w:r w:rsidR="00C0664B">
        <w:t xml:space="preserve"> to a </w:t>
      </w:r>
      <w:r w:rsidR="00C0664B" w:rsidRPr="00B77779">
        <w:t>2009 world multiregional estimate of average environmental impacts by region-sector</w:t>
      </w:r>
      <w:r w:rsidR="00C0664B">
        <w:t xml:space="preserve"> combined with global warming potential impact assessment (Timmer 2012, IPCC 2007)</w:t>
      </w:r>
      <w:r>
        <w:t xml:space="preserve">. </w:t>
      </w:r>
      <w:r w:rsidR="00C0664B">
        <w:t>The</w:t>
      </w:r>
      <w:r>
        <w:t xml:space="preserve"> </w:t>
      </w:r>
      <w:r w:rsidR="00C0664B">
        <w:t>expense quant</w:t>
      </w:r>
      <w:r>
        <w:t xml:space="preserve">ity entered </w:t>
      </w:r>
      <w:r w:rsidR="00C0664B">
        <w:t xml:space="preserve">by the user is </w:t>
      </w:r>
      <w:r>
        <w:t xml:space="preserve">the reference flow </w:t>
      </w:r>
      <w:r w:rsidRPr="00C02AA5">
        <w:t xml:space="preserve">quantity. </w:t>
      </w:r>
    </w:p>
    <w:p w14:paraId="02A48610" w14:textId="7055F69F" w:rsidR="00572131" w:rsidRDefault="006C2D10" w:rsidP="006D2435">
      <w:pPr>
        <w:pStyle w:val="Heading2"/>
        <w:spacing w:after="120"/>
      </w:pPr>
      <w:r>
        <w:t xml:space="preserve">Scope 3, </w:t>
      </w:r>
      <w:r w:rsidR="00572131" w:rsidRPr="0057307F">
        <w:t>Category 11: Use of sold products</w:t>
      </w:r>
    </w:p>
    <w:p w14:paraId="30B932C6" w14:textId="17AF0753" w:rsidR="00BE3847" w:rsidRPr="00810EA2" w:rsidRDefault="00572131" w:rsidP="00572131">
      <w:r w:rsidRPr="000F0166">
        <w:rPr>
          <w:b/>
        </w:rPr>
        <w:t>(On the CUSTOMER tab):</w:t>
      </w:r>
      <w:r w:rsidR="00832319">
        <w:t xml:space="preserve"> For</w:t>
      </w:r>
      <w:r>
        <w:t xml:space="preserve"> any products </w:t>
      </w:r>
      <w:r w:rsidR="00832319">
        <w:t>that consume energy during use</w:t>
      </w:r>
      <w:r w:rsidR="00444A4B">
        <w:t>,</w:t>
      </w:r>
      <w:r>
        <w:t xml:space="preserve"> the related </w:t>
      </w:r>
      <w:r w:rsidR="00BE3847">
        <w:t xml:space="preserve">energy type identified by the user </w:t>
      </w:r>
      <w:r>
        <w:t>link</w:t>
      </w:r>
      <w:r w:rsidR="00F32CB5">
        <w:t>s</w:t>
      </w:r>
      <w:r>
        <w:t xml:space="preserve"> to emission factors for various types of fuels</w:t>
      </w:r>
      <w:r w:rsidR="00BE3847">
        <w:t xml:space="preserve"> (MIT 2007, USEPA 2008, SCLCI 2010 in concert with IPCC 2007)</w:t>
      </w:r>
      <w:r>
        <w:t xml:space="preserve"> and electricity</w:t>
      </w:r>
      <w:r w:rsidR="00BE3847">
        <w:t xml:space="preserve"> (IEA 2011)</w:t>
      </w:r>
      <w:r>
        <w:t xml:space="preserve">, and the user can </w:t>
      </w:r>
      <w:r w:rsidR="00BE3847">
        <w:t>specify the country</w:t>
      </w:r>
      <w:r>
        <w:t xml:space="preserve"> electricity grid if desired. The emissions </w:t>
      </w:r>
      <w:r w:rsidR="00BE3847">
        <w:t xml:space="preserve">from the fuels and electricity </w:t>
      </w:r>
      <w:r>
        <w:t>include indirect and direct</w:t>
      </w:r>
      <w:r w:rsidR="00832319">
        <w:t xml:space="preserve"> in this tool (although inclusion of indirect emissions is optional under Scope 3 standard)</w:t>
      </w:r>
      <w:r>
        <w:t xml:space="preserve">. </w:t>
      </w:r>
      <w:r w:rsidR="00BE3847">
        <w:t xml:space="preserve">The reference flow is a function of the quantity sold, lifespan in months, and energy demand per month. </w:t>
      </w:r>
      <w:r w:rsidR="00AA05F7">
        <w:t>Please note that the tool only allows estimation of emissions from energy-using products, not those that contain or form GHGs during useful life.</w:t>
      </w:r>
    </w:p>
    <w:p w14:paraId="327C0703" w14:textId="2CE31D8C" w:rsidR="00572131" w:rsidRDefault="006C2D10" w:rsidP="006D2435">
      <w:pPr>
        <w:pStyle w:val="Heading2"/>
        <w:spacing w:after="120"/>
      </w:pPr>
      <w:r>
        <w:t xml:space="preserve">Scope 3, </w:t>
      </w:r>
      <w:r w:rsidR="00572131" w:rsidRPr="0057307F">
        <w:t xml:space="preserve">Category 12: </w:t>
      </w:r>
      <w:proofErr w:type="spellStart"/>
      <w:r w:rsidR="00572131" w:rsidRPr="0057307F">
        <w:t>EoL</w:t>
      </w:r>
      <w:proofErr w:type="spellEnd"/>
      <w:r w:rsidR="00572131" w:rsidRPr="0057307F">
        <w:t xml:space="preserve"> of sold products (intermediate product, if relevant)</w:t>
      </w:r>
    </w:p>
    <w:p w14:paraId="56D0CC02" w14:textId="549F30DD" w:rsidR="00572131" w:rsidRPr="004629BE" w:rsidRDefault="00572131" w:rsidP="00572131">
      <w:r w:rsidRPr="004629BE">
        <w:rPr>
          <w:b/>
        </w:rPr>
        <w:t>(On the CUSTOMER tab):</w:t>
      </w:r>
      <w:r w:rsidRPr="004629BE">
        <w:t xml:space="preserve"> For any </w:t>
      </w:r>
      <w:r w:rsidRPr="00444A4B">
        <w:t>sold products</w:t>
      </w:r>
      <w:r w:rsidRPr="004629BE">
        <w:t xml:space="preserve"> the related </w:t>
      </w:r>
      <w:r w:rsidR="00444A4B" w:rsidRPr="002A60DE">
        <w:t>m</w:t>
      </w:r>
      <w:r w:rsidRPr="002A60DE">
        <w:t>aterial group</w:t>
      </w:r>
      <w:r w:rsidRPr="004629BE">
        <w:t xml:space="preserve"> </w:t>
      </w:r>
      <w:r w:rsidR="00444A4B">
        <w:t>identified by the user link</w:t>
      </w:r>
      <w:r w:rsidR="00F32CB5">
        <w:t>s</w:t>
      </w:r>
      <w:r w:rsidR="00444A4B">
        <w:t xml:space="preserve"> </w:t>
      </w:r>
      <w:r w:rsidRPr="004629BE">
        <w:t xml:space="preserve">to a </w:t>
      </w:r>
      <w:r w:rsidR="00656559">
        <w:t xml:space="preserve">U.S. </w:t>
      </w:r>
      <w:r>
        <w:t xml:space="preserve">landfilling </w:t>
      </w:r>
      <w:r w:rsidRPr="004629BE">
        <w:t>emissions factor</w:t>
      </w:r>
      <w:r w:rsidR="009C4510">
        <w:t xml:space="preserve"> (USEPA 2014b)</w:t>
      </w:r>
      <w:r>
        <w:t>. Although a portion of waste is recovered and a portion is incinerated,</w:t>
      </w:r>
      <w:r w:rsidR="00D4764E">
        <w:t xml:space="preserve"> assuming 100%</w:t>
      </w:r>
      <w:r>
        <w:t xml:space="preserve"> landfilling is a conservative simplification.</w:t>
      </w:r>
      <w:r w:rsidR="009C4510">
        <w:t xml:space="preserve"> </w:t>
      </w:r>
      <w:r w:rsidRPr="004629BE">
        <w:t xml:space="preserve">All sold product </w:t>
      </w:r>
      <w:r w:rsidRPr="00D4764E">
        <w:t>units (</w:t>
      </w:r>
      <w:r w:rsidR="00D4764E">
        <w:t xml:space="preserve">as </w:t>
      </w:r>
      <w:r w:rsidRPr="00D4764E">
        <w:t>weight or mass)</w:t>
      </w:r>
      <w:r w:rsidRPr="004629BE">
        <w:t xml:space="preserve"> </w:t>
      </w:r>
      <w:r w:rsidR="009C4510">
        <w:t>identified by the user are</w:t>
      </w:r>
      <w:r w:rsidR="00D4764E">
        <w:t xml:space="preserve"> the reference flow quantities</w:t>
      </w:r>
      <w:r w:rsidRPr="004629BE">
        <w:t>.</w:t>
      </w:r>
    </w:p>
    <w:p w14:paraId="232F5F57" w14:textId="1FF155C2" w:rsidR="00572131" w:rsidRDefault="006C2D10" w:rsidP="006D2435">
      <w:pPr>
        <w:pStyle w:val="Heading2"/>
        <w:spacing w:after="120"/>
      </w:pPr>
      <w:r>
        <w:t xml:space="preserve">Scope 3, </w:t>
      </w:r>
      <w:r w:rsidR="00572131" w:rsidRPr="0057307F">
        <w:t>Category 13: Downstream leased assets</w:t>
      </w:r>
    </w:p>
    <w:p w14:paraId="6B6954AF" w14:textId="0EB02CC8" w:rsidR="00572131" w:rsidRPr="003D05A7" w:rsidRDefault="00572131" w:rsidP="00572131">
      <w:r w:rsidRPr="00760422">
        <w:rPr>
          <w:b/>
        </w:rPr>
        <w:t xml:space="preserve">(On the </w:t>
      </w:r>
      <w:r w:rsidRPr="00760422">
        <w:rPr>
          <w:b/>
          <w:bCs/>
        </w:rPr>
        <w:t>DOWNSTREAM LEASED ASSETS AND INVESTMENTS</w:t>
      </w:r>
      <w:r w:rsidRPr="00760422">
        <w:rPr>
          <w:b/>
        </w:rPr>
        <w:t xml:space="preserve"> tab):</w:t>
      </w:r>
      <w:r>
        <w:t xml:space="preserve"> If th</w:t>
      </w:r>
      <w:r w:rsidR="00D4764E">
        <w:t xml:space="preserve">ere are leased assets to report, </w:t>
      </w:r>
      <w:r>
        <w:t xml:space="preserve">the </w:t>
      </w:r>
      <w:r w:rsidRPr="00D4764E">
        <w:t>leased asset type</w:t>
      </w:r>
      <w:r w:rsidR="00D4764E" w:rsidRPr="00D4764E">
        <w:t xml:space="preserve">/sector identified by the user </w:t>
      </w:r>
      <w:r w:rsidR="00D4764E">
        <w:t xml:space="preserve">is linked </w:t>
      </w:r>
      <w:r>
        <w:t xml:space="preserve">to </w:t>
      </w:r>
      <w:r w:rsidR="00D75182">
        <w:t xml:space="preserve">a </w:t>
      </w:r>
      <w:r w:rsidR="00D75182" w:rsidRPr="00B77779">
        <w:t>2009 world multiregional estimate of average environmental impacts by region-sector</w:t>
      </w:r>
      <w:r w:rsidR="00D75182">
        <w:t xml:space="preserve"> combined with global warming potential impact assessment (Timmer 2012, IPCC 2007)</w:t>
      </w:r>
      <w:r>
        <w:t xml:space="preserve">. </w:t>
      </w:r>
      <w:r w:rsidR="00D4764E">
        <w:t>The</w:t>
      </w:r>
      <w:r w:rsidR="0013674F">
        <w:t xml:space="preserve"> basic price</w:t>
      </w:r>
      <w:r>
        <w:t xml:space="preserve"> USD </w:t>
      </w:r>
      <w:r w:rsidR="00D4764E">
        <w:t xml:space="preserve">expense </w:t>
      </w:r>
      <w:r>
        <w:t xml:space="preserve">quantity entered </w:t>
      </w:r>
      <w:r w:rsidR="00D4764E">
        <w:t>by the user is the</w:t>
      </w:r>
      <w:r>
        <w:t xml:space="preserve"> reference flow quantity.</w:t>
      </w:r>
    </w:p>
    <w:p w14:paraId="42E2B3BC" w14:textId="0873BB69" w:rsidR="00572131" w:rsidRDefault="006C2D10" w:rsidP="006D2435">
      <w:pPr>
        <w:pStyle w:val="Heading2"/>
        <w:spacing w:after="120"/>
      </w:pPr>
      <w:r>
        <w:lastRenderedPageBreak/>
        <w:t xml:space="preserve">Scope 3, </w:t>
      </w:r>
      <w:r w:rsidR="00572131" w:rsidRPr="0015339C">
        <w:t>Category 14: Franchises</w:t>
      </w:r>
    </w:p>
    <w:p w14:paraId="0E161E5F" w14:textId="1BEDD0E7" w:rsidR="00572131" w:rsidRPr="00067B5E" w:rsidRDefault="00572131" w:rsidP="00572131">
      <w:pPr>
        <w:rPr>
          <w:b/>
          <w:u w:val="single"/>
        </w:rPr>
      </w:pPr>
      <w:r w:rsidRPr="00384F2F">
        <w:rPr>
          <w:b/>
        </w:rPr>
        <w:t xml:space="preserve">(On the </w:t>
      </w:r>
      <w:r w:rsidRPr="00384F2F">
        <w:rPr>
          <w:b/>
          <w:bCs/>
        </w:rPr>
        <w:t>DOWNSTREAM LEASED ASSETS AND INVESTMENTS</w:t>
      </w:r>
      <w:r w:rsidR="00067B5E">
        <w:rPr>
          <w:b/>
        </w:rPr>
        <w:t xml:space="preserve"> tab): </w:t>
      </w:r>
      <w:r w:rsidR="00067B5E" w:rsidRPr="00067B5E">
        <w:t>If the</w:t>
      </w:r>
      <w:r w:rsidRPr="00384F2F">
        <w:t xml:space="preserve"> user operates from a </w:t>
      </w:r>
      <w:r w:rsidR="00067B5E">
        <w:t>franchise model,</w:t>
      </w:r>
      <w:r w:rsidRPr="00865575">
        <w:t xml:space="preserve"> </w:t>
      </w:r>
      <w:r w:rsidR="00067B5E">
        <w:t>the user enters the area of</w:t>
      </w:r>
      <w:r w:rsidRPr="00865575">
        <w:t xml:space="preserve"> space franchised. Assuming the space is general commercial s</w:t>
      </w:r>
      <w:r>
        <w:t>pace</w:t>
      </w:r>
      <w:r w:rsidR="00067B5E">
        <w:t>, this facility type is linked to fuel and electricity demand statistics (</w:t>
      </w:r>
      <w:r w:rsidR="00A253C6">
        <w:t>USEIA 2003; 2010</w:t>
      </w:r>
      <w:r w:rsidR="00067B5E">
        <w:t>). Fuel d</w:t>
      </w:r>
      <w:r w:rsidR="00067B5E" w:rsidRPr="00C30B37">
        <w:t xml:space="preserve">irect emissions </w:t>
      </w:r>
      <w:r w:rsidR="00067B5E">
        <w:t xml:space="preserve">per unit of energy </w:t>
      </w:r>
      <w:r w:rsidR="00067B5E" w:rsidRPr="00C30B37">
        <w:t xml:space="preserve">are </w:t>
      </w:r>
      <w:r w:rsidR="00067B5E">
        <w:t>sourced</w:t>
      </w:r>
      <w:r w:rsidR="00067B5E" w:rsidRPr="00C30B37">
        <w:t xml:space="preserve"> from </w:t>
      </w:r>
      <w:r w:rsidR="00067B5E">
        <w:t>(</w:t>
      </w:r>
      <w:r w:rsidR="00067B5E" w:rsidRPr="00C30B37">
        <w:t>USEPA 2008</w:t>
      </w:r>
      <w:r w:rsidR="00067B5E">
        <w:t>)</w:t>
      </w:r>
      <w:r w:rsidR="00067B5E" w:rsidRPr="00C30B37">
        <w:t xml:space="preserve"> and </w:t>
      </w:r>
      <w:r w:rsidR="00067B5E">
        <w:t>(</w:t>
      </w:r>
      <w:r w:rsidR="00067B5E" w:rsidRPr="00C30B37">
        <w:t>MIT 2007</w:t>
      </w:r>
      <w:r w:rsidR="00067B5E">
        <w:t>)</w:t>
      </w:r>
      <w:r w:rsidR="00067B5E" w:rsidRPr="00C30B37">
        <w:t>.</w:t>
      </w:r>
      <w:r w:rsidR="00067B5E">
        <w:rPr>
          <w:b/>
          <w:u w:val="single"/>
        </w:rPr>
        <w:t xml:space="preserve"> </w:t>
      </w:r>
      <w:r w:rsidR="00067B5E">
        <w:t>Electricity direct emissions are estimated with an average-emission country proxy, which is linked to GHG Protocol 2011 data for Scope 2 emissions (WRI 2014). The area of space entered by the user is the reference flow quantity.</w:t>
      </w:r>
    </w:p>
    <w:p w14:paraId="0197EBA5" w14:textId="5AE96D01" w:rsidR="00572131" w:rsidRDefault="006C2D10" w:rsidP="006D2435">
      <w:pPr>
        <w:pStyle w:val="Heading2"/>
        <w:spacing w:after="120"/>
      </w:pPr>
      <w:r>
        <w:t xml:space="preserve">Scope 3, </w:t>
      </w:r>
      <w:r w:rsidR="00572131" w:rsidRPr="0057307F">
        <w:t>Category 15: Investments</w:t>
      </w:r>
    </w:p>
    <w:p w14:paraId="3C37D735" w14:textId="3EE58FA0" w:rsidR="00572131" w:rsidRDefault="00572131" w:rsidP="00572131">
      <w:r w:rsidRPr="003368D4">
        <w:rPr>
          <w:b/>
        </w:rPr>
        <w:t xml:space="preserve">(On the </w:t>
      </w:r>
      <w:r w:rsidRPr="003368D4">
        <w:rPr>
          <w:b/>
          <w:bCs/>
        </w:rPr>
        <w:t>DOWNSTREAM LEASED ASSETS AND INVESTMENTS</w:t>
      </w:r>
      <w:r w:rsidRPr="003368D4">
        <w:rPr>
          <w:b/>
        </w:rPr>
        <w:t xml:space="preserve"> tab):</w:t>
      </w:r>
      <w:r>
        <w:t xml:space="preserve"> If user has </w:t>
      </w:r>
      <w:r w:rsidR="0013674F">
        <w:t xml:space="preserve">equity </w:t>
      </w:r>
      <w:r>
        <w:t xml:space="preserve">investments </w:t>
      </w:r>
      <w:r w:rsidR="0013674F">
        <w:t xml:space="preserve">in subsidiaries, associate companies, or joint ventures that are </w:t>
      </w:r>
      <w:r>
        <w:t>not already included in Scope 1</w:t>
      </w:r>
      <w:r w:rsidR="0013674F">
        <w:t xml:space="preserve">, </w:t>
      </w:r>
      <w:r w:rsidRPr="005E2807">
        <w:t>the</w:t>
      </w:r>
      <w:r w:rsidRPr="00CE4470">
        <w:t xml:space="preserve"> </w:t>
      </w:r>
      <w:r w:rsidR="00CE4470" w:rsidRPr="00CE4470">
        <w:t>investment sector identified by the user</w:t>
      </w:r>
      <w:r w:rsidRPr="005E2807">
        <w:t xml:space="preserve"> is</w:t>
      </w:r>
      <w:r w:rsidRPr="003368D4">
        <w:t xml:space="preserve"> </w:t>
      </w:r>
      <w:r w:rsidR="00CE4470">
        <w:t xml:space="preserve">linked to a </w:t>
      </w:r>
      <w:r w:rsidR="00CE4470" w:rsidRPr="00B77779">
        <w:t>2009 world multiregional estimate of average environmental impacts by region-sector</w:t>
      </w:r>
      <w:r w:rsidR="00CE4470">
        <w:t xml:space="preserve"> combined with global warming potential impact assessment (Timmer 2012, IPCC 2007).</w:t>
      </w:r>
      <w:r w:rsidR="0013674F">
        <w:t xml:space="preserve"> Users should enter the annual revenue for the equity companies normalized by the equity share of the investment in the company. Debt investments are not covered by this tool.</w:t>
      </w:r>
      <w:r w:rsidR="00CE4470">
        <w:t xml:space="preserve"> The USD quantities</w:t>
      </w:r>
      <w:r>
        <w:t xml:space="preserve"> entered </w:t>
      </w:r>
      <w:r w:rsidR="00CE4470">
        <w:t>by the user are</w:t>
      </w:r>
      <w:r>
        <w:t xml:space="preserve"> used as the corresponding reference flow quantities.</w:t>
      </w:r>
    </w:p>
    <w:p w14:paraId="4547E3EC" w14:textId="77777777" w:rsidR="00572131" w:rsidRDefault="00572131" w:rsidP="00572131">
      <w:r>
        <w:br w:type="page"/>
      </w:r>
    </w:p>
    <w:p w14:paraId="3153B3F3" w14:textId="1EFEFE88" w:rsidR="00EC4EC6" w:rsidRPr="00C524D2" w:rsidRDefault="00572131" w:rsidP="00160AA7">
      <w:pPr>
        <w:pStyle w:val="Heading1"/>
        <w:rPr>
          <w:b w:val="0"/>
          <w:bCs w:val="0"/>
          <w:sz w:val="32"/>
          <w:szCs w:val="32"/>
        </w:rPr>
      </w:pPr>
      <w:r w:rsidRPr="00C524D2">
        <w:rPr>
          <w:rStyle w:val="Heading1Char"/>
          <w:b/>
          <w:sz w:val="32"/>
          <w:szCs w:val="32"/>
        </w:rPr>
        <w:lastRenderedPageBreak/>
        <w:t>References</w:t>
      </w:r>
    </w:p>
    <w:p w14:paraId="6456DC42" w14:textId="61D13DD4" w:rsidR="00C84005" w:rsidRDefault="00C84005" w:rsidP="00160AA7">
      <w:pPr>
        <w:spacing w:after="120" w:line="276" w:lineRule="auto"/>
        <w:ind w:left="720" w:hanging="720"/>
        <w:rPr>
          <w:sz w:val="22"/>
          <w:szCs w:val="22"/>
        </w:rPr>
      </w:pPr>
      <w:r>
        <w:rPr>
          <w:sz w:val="22"/>
          <w:szCs w:val="22"/>
        </w:rPr>
        <w:t xml:space="preserve">DEFRA 2016. </w:t>
      </w:r>
      <w:r w:rsidRPr="00C84005">
        <w:rPr>
          <w:sz w:val="22"/>
          <w:szCs w:val="22"/>
        </w:rPr>
        <w:t>UK Government GHG Conversion Factors for Company Reporting 2016, v 1</w:t>
      </w:r>
      <w:r w:rsidR="00B26D79">
        <w:rPr>
          <w:sz w:val="22"/>
          <w:szCs w:val="22"/>
        </w:rPr>
        <w:t xml:space="preserve">. </w:t>
      </w:r>
      <w:hyperlink r:id="rId9" w:history="1">
        <w:r w:rsidR="00B26D79" w:rsidRPr="004F77D4">
          <w:rPr>
            <w:rStyle w:val="Hyperlink"/>
            <w:sz w:val="22"/>
            <w:szCs w:val="22"/>
          </w:rPr>
          <w:t>https://www.gov.uk/government/uploads/system/uploads/attachment_data/file/526958/ghg-conversion-factors-2016update_MASTER__links_removed__v2.xls</w:t>
        </w:r>
      </w:hyperlink>
    </w:p>
    <w:p w14:paraId="5AF9367B" w14:textId="32E956B5" w:rsidR="00160AA7" w:rsidRPr="00DB28F3" w:rsidRDefault="00160AA7" w:rsidP="00160AA7">
      <w:pPr>
        <w:spacing w:after="120" w:line="276" w:lineRule="auto"/>
        <w:ind w:left="720" w:hanging="720"/>
        <w:rPr>
          <w:sz w:val="22"/>
          <w:szCs w:val="22"/>
        </w:rPr>
      </w:pPr>
      <w:r w:rsidRPr="00DB28F3">
        <w:rPr>
          <w:sz w:val="22"/>
          <w:szCs w:val="22"/>
        </w:rPr>
        <w:t>IEA 2011</w:t>
      </w:r>
      <w:r w:rsidR="00000156" w:rsidRPr="00DB28F3">
        <w:rPr>
          <w:sz w:val="22"/>
          <w:szCs w:val="22"/>
        </w:rPr>
        <w:t xml:space="preserve">. </w:t>
      </w:r>
      <w:r w:rsidR="006E6D22" w:rsidRPr="00DB28F3">
        <w:rPr>
          <w:sz w:val="22"/>
          <w:szCs w:val="22"/>
        </w:rPr>
        <w:t xml:space="preserve">International Energy Agency Energy Statistics </w:t>
      </w:r>
    </w:p>
    <w:p w14:paraId="19B9281B" w14:textId="133AC000" w:rsidR="00160AA7" w:rsidRPr="00DB28F3" w:rsidRDefault="00160AA7" w:rsidP="00160AA7">
      <w:pPr>
        <w:spacing w:after="120" w:line="276" w:lineRule="auto"/>
        <w:ind w:left="720" w:hanging="720"/>
        <w:rPr>
          <w:sz w:val="22"/>
          <w:szCs w:val="22"/>
        </w:rPr>
      </w:pPr>
      <w:r w:rsidRPr="00DB28F3">
        <w:rPr>
          <w:sz w:val="22"/>
          <w:szCs w:val="22"/>
        </w:rPr>
        <w:t>IPCC 2007.  GWP 100a method.</w:t>
      </w:r>
    </w:p>
    <w:p w14:paraId="57C36EF4" w14:textId="61CED6FB" w:rsidR="00765B99" w:rsidRDefault="00160AA7" w:rsidP="00765B99">
      <w:pPr>
        <w:spacing w:after="120" w:line="276" w:lineRule="auto"/>
        <w:ind w:left="720" w:hanging="720"/>
        <w:rPr>
          <w:rStyle w:val="Hyperlink"/>
          <w:sz w:val="22"/>
          <w:szCs w:val="22"/>
        </w:rPr>
      </w:pPr>
      <w:r w:rsidRPr="00DB28F3">
        <w:rPr>
          <w:sz w:val="22"/>
          <w:szCs w:val="22"/>
        </w:rPr>
        <w:t xml:space="preserve">MIT 2007. MIT Energy </w:t>
      </w:r>
      <w:r w:rsidR="00765B99" w:rsidRPr="00DB28F3">
        <w:rPr>
          <w:sz w:val="22"/>
          <w:szCs w:val="22"/>
        </w:rPr>
        <w:t xml:space="preserve">Club </w:t>
      </w:r>
      <w:r w:rsidRPr="00DB28F3">
        <w:rPr>
          <w:sz w:val="22"/>
          <w:szCs w:val="22"/>
        </w:rPr>
        <w:t xml:space="preserve">Conversion sheet: </w:t>
      </w:r>
      <w:hyperlink r:id="rId10" w:history="1">
        <w:r w:rsidR="00765B99" w:rsidRPr="00DB28F3">
          <w:rPr>
            <w:rStyle w:val="Hyperlink"/>
            <w:sz w:val="22"/>
            <w:szCs w:val="22"/>
          </w:rPr>
          <w:t>http://www.mitenergyclub.org/assets/2008/11/15/Units_ConvFactors.MIT_EnergyClub_Factsheet.v8.pdf</w:t>
        </w:r>
      </w:hyperlink>
    </w:p>
    <w:p w14:paraId="6C364DB7" w14:textId="61466328" w:rsidR="00C84005" w:rsidRPr="00DB28F3" w:rsidRDefault="00C84005" w:rsidP="0090645E">
      <w:pPr>
        <w:spacing w:after="120" w:line="276" w:lineRule="auto"/>
        <w:ind w:left="720" w:hanging="720"/>
        <w:rPr>
          <w:sz w:val="22"/>
          <w:szCs w:val="22"/>
        </w:rPr>
      </w:pPr>
      <w:proofErr w:type="spellStart"/>
      <w:r>
        <w:rPr>
          <w:sz w:val="22"/>
          <w:szCs w:val="22"/>
        </w:rPr>
        <w:t>Ricaurte</w:t>
      </w:r>
      <w:proofErr w:type="spellEnd"/>
      <w:r>
        <w:rPr>
          <w:sz w:val="22"/>
          <w:szCs w:val="22"/>
        </w:rPr>
        <w:t>, E. 2016</w:t>
      </w:r>
      <w:r w:rsidRPr="00C84005">
        <w:rPr>
          <w:sz w:val="22"/>
          <w:szCs w:val="22"/>
        </w:rPr>
        <w:t xml:space="preserve">. Hotel sustainability benchmarking index 2016: Energy, water, and carbon. Cornell Hospitality Report, 16(16), 3-13. </w:t>
      </w:r>
      <w:hyperlink r:id="rId11" w:history="1">
        <w:r w:rsidRPr="004F77D4">
          <w:rPr>
            <w:rStyle w:val="Hyperlink"/>
            <w:sz w:val="22"/>
            <w:szCs w:val="22"/>
          </w:rPr>
          <w:t>http://scholarship.sha.cornell.edu/chrreports/17/</w:t>
        </w:r>
      </w:hyperlink>
    </w:p>
    <w:p w14:paraId="01FE508C" w14:textId="6AC4A2A1" w:rsidR="00160AA7" w:rsidRPr="00DB28F3" w:rsidRDefault="00160AA7" w:rsidP="00160AA7">
      <w:pPr>
        <w:spacing w:after="120" w:line="276" w:lineRule="auto"/>
        <w:ind w:left="720" w:hanging="720"/>
        <w:rPr>
          <w:sz w:val="22"/>
          <w:szCs w:val="22"/>
        </w:rPr>
      </w:pPr>
      <w:r w:rsidRPr="00DB28F3">
        <w:rPr>
          <w:sz w:val="22"/>
          <w:szCs w:val="22"/>
        </w:rPr>
        <w:t>SCLCI 2010</w:t>
      </w:r>
      <w:r w:rsidR="00E208EE" w:rsidRPr="00DB28F3">
        <w:rPr>
          <w:sz w:val="22"/>
          <w:szCs w:val="22"/>
        </w:rPr>
        <w:t>. e</w:t>
      </w:r>
      <w:r w:rsidRPr="00DB28F3">
        <w:rPr>
          <w:sz w:val="22"/>
          <w:szCs w:val="22"/>
        </w:rPr>
        <w:t>coinvent database version 2.2</w:t>
      </w:r>
    </w:p>
    <w:p w14:paraId="59AC3CBB" w14:textId="3FA2A93A" w:rsidR="00091947" w:rsidRPr="00DB28F3" w:rsidRDefault="00160AA7" w:rsidP="00091947">
      <w:pPr>
        <w:spacing w:after="120" w:line="276" w:lineRule="auto"/>
        <w:ind w:left="720" w:hanging="720"/>
        <w:rPr>
          <w:rFonts w:cs="Courier New"/>
          <w:sz w:val="22"/>
          <w:szCs w:val="22"/>
        </w:rPr>
      </w:pPr>
      <w:proofErr w:type="gramStart"/>
      <w:r w:rsidRPr="00DB28F3">
        <w:rPr>
          <w:sz w:val="22"/>
          <w:szCs w:val="22"/>
        </w:rPr>
        <w:t>Timmer  2012</w:t>
      </w:r>
      <w:proofErr w:type="gramEnd"/>
      <w:r w:rsidRPr="00DB28F3">
        <w:rPr>
          <w:sz w:val="22"/>
          <w:szCs w:val="22"/>
        </w:rPr>
        <w:t>. World Input‐Output Database</w:t>
      </w:r>
      <w:r w:rsidR="00091947" w:rsidRPr="00DB28F3">
        <w:rPr>
          <w:sz w:val="22"/>
          <w:szCs w:val="22"/>
        </w:rPr>
        <w:t xml:space="preserve"> (WIOD): 2009 world multiregional estimate of average environmental impacts by region-sector</w:t>
      </w:r>
      <w:r w:rsidR="00091947" w:rsidRPr="00DB28F3">
        <w:rPr>
          <w:rFonts w:cs="Courier New"/>
          <w:sz w:val="22"/>
          <w:szCs w:val="22"/>
        </w:rPr>
        <w:t xml:space="preserve"> </w:t>
      </w:r>
      <w:hyperlink r:id="rId12" w:history="1">
        <w:r w:rsidRPr="00DB28F3">
          <w:rPr>
            <w:rStyle w:val="Hyperlink"/>
            <w:sz w:val="22"/>
            <w:szCs w:val="22"/>
          </w:rPr>
          <w:t>http://www.wiod.org/new_site/home.htm</w:t>
        </w:r>
      </w:hyperlink>
    </w:p>
    <w:p w14:paraId="6F44561E" w14:textId="135B56DE" w:rsidR="00160AA7" w:rsidRPr="00DB28F3" w:rsidRDefault="00E208EE" w:rsidP="00160AA7">
      <w:pPr>
        <w:spacing w:after="120" w:line="276" w:lineRule="auto"/>
        <w:ind w:left="720" w:hanging="720"/>
        <w:rPr>
          <w:sz w:val="22"/>
          <w:szCs w:val="22"/>
        </w:rPr>
      </w:pPr>
      <w:r w:rsidRPr="00DB28F3">
        <w:rPr>
          <w:sz w:val="22"/>
          <w:szCs w:val="22"/>
        </w:rPr>
        <w:t>TSC 2011. Open IO Database</w:t>
      </w:r>
    </w:p>
    <w:p w14:paraId="4E4E774E" w14:textId="3FFD36E0" w:rsidR="00160AA7" w:rsidRPr="00DB28F3" w:rsidRDefault="00160AA7" w:rsidP="00160AA7">
      <w:pPr>
        <w:spacing w:after="120" w:line="276" w:lineRule="auto"/>
        <w:ind w:left="720" w:hanging="720"/>
        <w:rPr>
          <w:sz w:val="22"/>
          <w:szCs w:val="22"/>
        </w:rPr>
      </w:pPr>
      <w:r w:rsidRPr="00DB28F3">
        <w:rPr>
          <w:sz w:val="22"/>
          <w:szCs w:val="22"/>
        </w:rPr>
        <w:t>USDOT 2014. National Household Travel Survey, US Department of Transportation, Bureau of Transportation Statistics</w:t>
      </w:r>
    </w:p>
    <w:p w14:paraId="2A8FAD89" w14:textId="5AC9602C" w:rsidR="00572131" w:rsidRPr="00DB28F3" w:rsidRDefault="008854B4" w:rsidP="00160AA7">
      <w:pPr>
        <w:spacing w:after="120" w:line="276" w:lineRule="auto"/>
        <w:ind w:left="720" w:hanging="720"/>
        <w:rPr>
          <w:sz w:val="22"/>
          <w:szCs w:val="22"/>
        </w:rPr>
      </w:pPr>
      <w:r w:rsidRPr="00DB28F3">
        <w:rPr>
          <w:sz w:val="22"/>
          <w:szCs w:val="22"/>
        </w:rPr>
        <w:t>US EIA 2003</w:t>
      </w:r>
      <w:r w:rsidR="00EC4EC6" w:rsidRPr="00DB28F3">
        <w:rPr>
          <w:sz w:val="22"/>
          <w:szCs w:val="22"/>
        </w:rPr>
        <w:t xml:space="preserve">. </w:t>
      </w:r>
      <w:r w:rsidR="00572131" w:rsidRPr="00DB28F3">
        <w:rPr>
          <w:sz w:val="22"/>
          <w:szCs w:val="22"/>
        </w:rPr>
        <w:t>Energy Information Administration, Office of Energy Markets and End Use, 2003 Commercial Buildi</w:t>
      </w:r>
      <w:r w:rsidR="00F53FD9" w:rsidRPr="00DB28F3">
        <w:rPr>
          <w:sz w:val="22"/>
          <w:szCs w:val="22"/>
        </w:rPr>
        <w:t>ngs Energy Consumption Survey.</w:t>
      </w:r>
    </w:p>
    <w:p w14:paraId="41B22D46" w14:textId="70C731A2" w:rsidR="008854B4" w:rsidRPr="00DB28F3" w:rsidRDefault="008854B4" w:rsidP="008854B4">
      <w:pPr>
        <w:spacing w:after="120" w:line="276" w:lineRule="auto"/>
        <w:ind w:left="720" w:hanging="720"/>
        <w:rPr>
          <w:sz w:val="22"/>
          <w:szCs w:val="22"/>
        </w:rPr>
      </w:pPr>
      <w:r w:rsidRPr="00DB28F3">
        <w:rPr>
          <w:sz w:val="22"/>
          <w:szCs w:val="22"/>
        </w:rPr>
        <w:t>US EIA 2010</w:t>
      </w:r>
      <w:r w:rsidR="00EC4EC6" w:rsidRPr="00DB28F3">
        <w:rPr>
          <w:sz w:val="22"/>
          <w:szCs w:val="22"/>
        </w:rPr>
        <w:t xml:space="preserve">. </w:t>
      </w:r>
      <w:r w:rsidR="00F53FD9" w:rsidRPr="00DB28F3">
        <w:rPr>
          <w:sz w:val="22"/>
          <w:szCs w:val="22"/>
        </w:rPr>
        <w:t>Energy Information Administration, Office of Energy Markets and End Use, 2003 Manufacturing Energy Consumption Survey.</w:t>
      </w:r>
      <w:r w:rsidRPr="00DB28F3">
        <w:rPr>
          <w:sz w:val="22"/>
          <w:szCs w:val="22"/>
        </w:rPr>
        <w:t xml:space="preserve"> </w:t>
      </w:r>
      <w:hyperlink r:id="rId13" w:history="1">
        <w:r w:rsidRPr="00DB28F3">
          <w:rPr>
            <w:rStyle w:val="Hyperlink"/>
            <w:sz w:val="22"/>
            <w:szCs w:val="22"/>
          </w:rPr>
          <w:t>http://www.eia.gov/consumption/manufacturing/</w:t>
        </w:r>
      </w:hyperlink>
    </w:p>
    <w:p w14:paraId="79D31BC3" w14:textId="38C153E1" w:rsidR="00091947" w:rsidRPr="00C13368" w:rsidRDefault="00000156" w:rsidP="00000156">
      <w:pPr>
        <w:spacing w:after="120" w:line="276" w:lineRule="auto"/>
        <w:ind w:left="720" w:hanging="720"/>
        <w:rPr>
          <w:sz w:val="22"/>
          <w:szCs w:val="22"/>
          <w:lang w:val="fr-FR"/>
        </w:rPr>
      </w:pPr>
      <w:r w:rsidRPr="00DB28F3">
        <w:rPr>
          <w:sz w:val="22"/>
          <w:szCs w:val="22"/>
        </w:rPr>
        <w:t xml:space="preserve">USEPA 2008a. Stationary Combustion Guidance. </w:t>
      </w:r>
      <w:hyperlink r:id="rId14" w:history="1">
        <w:r w:rsidR="00091947" w:rsidRPr="00C13368">
          <w:rPr>
            <w:rStyle w:val="Hyperlink"/>
            <w:sz w:val="22"/>
            <w:szCs w:val="22"/>
            <w:lang w:val="fr-FR"/>
          </w:rPr>
          <w:t>http://www.epa.gov/climateleadership/documents/resources/stationarycombustionguidance.pdf</w:t>
        </w:r>
      </w:hyperlink>
    </w:p>
    <w:p w14:paraId="5E716B7E" w14:textId="6BBBBB92" w:rsidR="00091947" w:rsidRPr="00DB28F3" w:rsidRDefault="00EC4EC6" w:rsidP="00000156">
      <w:pPr>
        <w:spacing w:after="120" w:line="276" w:lineRule="auto"/>
        <w:ind w:left="720" w:hanging="720"/>
        <w:rPr>
          <w:sz w:val="22"/>
          <w:szCs w:val="22"/>
        </w:rPr>
      </w:pPr>
      <w:r w:rsidRPr="00C524D2">
        <w:rPr>
          <w:sz w:val="22"/>
          <w:szCs w:val="22"/>
          <w:lang w:val="fr-FR"/>
        </w:rPr>
        <w:t>USEPA 2008</w:t>
      </w:r>
      <w:proofErr w:type="gramStart"/>
      <w:r w:rsidRPr="00C524D2">
        <w:rPr>
          <w:sz w:val="22"/>
          <w:szCs w:val="22"/>
          <w:lang w:val="fr-FR"/>
        </w:rPr>
        <w:t>b:</w:t>
      </w:r>
      <w:proofErr w:type="gramEnd"/>
      <w:r w:rsidRPr="00C524D2">
        <w:rPr>
          <w:sz w:val="22"/>
          <w:szCs w:val="22"/>
          <w:lang w:val="fr-FR"/>
        </w:rPr>
        <w:t xml:space="preserve"> </w:t>
      </w:r>
      <w:r w:rsidR="00000156" w:rsidRPr="00C524D2">
        <w:rPr>
          <w:sz w:val="22"/>
          <w:szCs w:val="22"/>
          <w:lang w:val="fr-FR"/>
        </w:rPr>
        <w:t xml:space="preserve">Mobile Source Guidance. </w:t>
      </w:r>
      <w:hyperlink r:id="rId15" w:history="1">
        <w:r w:rsidR="00091947" w:rsidRPr="00DB28F3">
          <w:rPr>
            <w:rStyle w:val="Hyperlink"/>
            <w:sz w:val="22"/>
            <w:szCs w:val="22"/>
          </w:rPr>
          <w:t>http://www.epa.gov/climateleadership/documents/resources/mobilesource_guidance.pdf</w:t>
        </w:r>
      </w:hyperlink>
    </w:p>
    <w:p w14:paraId="0EFD61B1" w14:textId="1C17D244" w:rsidR="002A60DE" w:rsidRPr="00DB28F3" w:rsidRDefault="00160AA7" w:rsidP="00160AA7">
      <w:pPr>
        <w:spacing w:after="120" w:line="276" w:lineRule="auto"/>
        <w:ind w:left="720" w:hanging="720"/>
        <w:rPr>
          <w:sz w:val="22"/>
          <w:szCs w:val="22"/>
        </w:rPr>
      </w:pPr>
      <w:r w:rsidRPr="00DB28F3">
        <w:rPr>
          <w:sz w:val="22"/>
          <w:szCs w:val="22"/>
        </w:rPr>
        <w:t xml:space="preserve">USEPA 2014a. </w:t>
      </w:r>
      <w:proofErr w:type="spellStart"/>
      <w:r w:rsidRPr="00DB28F3">
        <w:rPr>
          <w:sz w:val="22"/>
          <w:szCs w:val="22"/>
        </w:rPr>
        <w:t>eGRID</w:t>
      </w:r>
      <w:proofErr w:type="spellEnd"/>
      <w:r w:rsidRPr="00DB28F3">
        <w:rPr>
          <w:sz w:val="22"/>
          <w:szCs w:val="22"/>
        </w:rPr>
        <w:t xml:space="preserve"> data</w:t>
      </w:r>
    </w:p>
    <w:p w14:paraId="01B8AD4E" w14:textId="1026CB7F" w:rsidR="00000156" w:rsidRPr="00DB28F3" w:rsidRDefault="002A60DE" w:rsidP="00000156">
      <w:pPr>
        <w:pStyle w:val="FootnoteText"/>
        <w:spacing w:after="120" w:line="276" w:lineRule="auto"/>
        <w:ind w:left="720" w:hanging="720"/>
        <w:rPr>
          <w:rFonts w:ascii="Cambria" w:hAnsi="Cambria"/>
          <w:sz w:val="22"/>
          <w:szCs w:val="22"/>
        </w:rPr>
      </w:pPr>
      <w:r w:rsidRPr="00DB28F3">
        <w:rPr>
          <w:rFonts w:ascii="Cambria" w:hAnsi="Cambria"/>
          <w:sz w:val="22"/>
          <w:szCs w:val="22"/>
        </w:rPr>
        <w:t>USEPA 2014</w:t>
      </w:r>
      <w:r w:rsidR="009C4510" w:rsidRPr="00DB28F3">
        <w:rPr>
          <w:rFonts w:ascii="Cambria" w:hAnsi="Cambria"/>
          <w:sz w:val="22"/>
          <w:szCs w:val="22"/>
        </w:rPr>
        <w:t>b</w:t>
      </w:r>
      <w:r w:rsidRPr="00DB28F3">
        <w:rPr>
          <w:rFonts w:ascii="Cambria" w:hAnsi="Cambria"/>
          <w:sz w:val="22"/>
          <w:szCs w:val="22"/>
        </w:rPr>
        <w:t xml:space="preserve">. </w:t>
      </w:r>
      <w:r w:rsidR="00000156" w:rsidRPr="00DB28F3">
        <w:rPr>
          <w:rFonts w:ascii="Cambria" w:hAnsi="Cambria"/>
          <w:sz w:val="22"/>
          <w:szCs w:val="22"/>
        </w:rPr>
        <w:t>Waste Reduction Model (</w:t>
      </w:r>
      <w:r w:rsidRPr="00DB28F3">
        <w:rPr>
          <w:rFonts w:ascii="Cambria" w:hAnsi="Cambria"/>
          <w:sz w:val="22"/>
          <w:szCs w:val="22"/>
        </w:rPr>
        <w:t>WARM</w:t>
      </w:r>
      <w:r w:rsidR="00000156" w:rsidRPr="00DB28F3">
        <w:rPr>
          <w:rFonts w:ascii="Cambria" w:hAnsi="Cambria"/>
          <w:sz w:val="22"/>
          <w:szCs w:val="22"/>
        </w:rPr>
        <w:t xml:space="preserve">) </w:t>
      </w:r>
      <w:hyperlink r:id="rId16" w:history="1">
        <w:r w:rsidR="00000156" w:rsidRPr="00DB28F3">
          <w:rPr>
            <w:rStyle w:val="Hyperlink"/>
            <w:rFonts w:ascii="Cambria" w:hAnsi="Cambria"/>
            <w:sz w:val="22"/>
            <w:szCs w:val="22"/>
          </w:rPr>
          <w:t>http://epa.gov/epawaste/conserve/tools/warm/index.html</w:t>
        </w:r>
      </w:hyperlink>
    </w:p>
    <w:p w14:paraId="7064E9AF" w14:textId="2EF9BE58" w:rsidR="00160AA7" w:rsidRPr="00DB28F3" w:rsidRDefault="00160AA7" w:rsidP="00160AA7">
      <w:pPr>
        <w:pStyle w:val="FootnoteText"/>
        <w:spacing w:after="120" w:line="276" w:lineRule="auto"/>
        <w:ind w:left="720" w:hanging="720"/>
        <w:rPr>
          <w:rFonts w:ascii="Cambria" w:eastAsia="Cambria" w:hAnsi="Cambria" w:cs="Times New Roman"/>
          <w:sz w:val="22"/>
          <w:szCs w:val="22"/>
        </w:rPr>
      </w:pPr>
      <w:r w:rsidRPr="00DB28F3">
        <w:rPr>
          <w:rFonts w:ascii="Cambria" w:eastAsia="Cambria" w:hAnsi="Cambria" w:cs="Times New Roman"/>
          <w:sz w:val="22"/>
          <w:szCs w:val="22"/>
        </w:rPr>
        <w:t xml:space="preserve">WRI 2008. </w:t>
      </w:r>
      <w:r w:rsidR="00000156" w:rsidRPr="00DB28F3">
        <w:rPr>
          <w:rFonts w:ascii="Cambria" w:eastAsia="Cambria" w:hAnsi="Cambria" w:cs="Times New Roman"/>
          <w:sz w:val="22"/>
          <w:szCs w:val="22"/>
        </w:rPr>
        <w:t>WRI</w:t>
      </w:r>
      <w:r w:rsidRPr="00DB28F3">
        <w:rPr>
          <w:rFonts w:ascii="Cambria" w:eastAsia="Cambria" w:hAnsi="Cambria" w:cs="Times New Roman"/>
          <w:sz w:val="22"/>
          <w:szCs w:val="22"/>
        </w:rPr>
        <w:t xml:space="preserve"> GHG Protocol tool for mobile combustion. Version 2.2.</w:t>
      </w:r>
    </w:p>
    <w:p w14:paraId="1D58CF53" w14:textId="7EA0E817" w:rsidR="00A253C6" w:rsidRPr="00DB28F3" w:rsidRDefault="00A253C6" w:rsidP="00A253C6">
      <w:pPr>
        <w:pStyle w:val="FootnoteText"/>
        <w:spacing w:after="120" w:line="276" w:lineRule="auto"/>
        <w:ind w:left="720" w:hanging="720"/>
        <w:rPr>
          <w:rFonts w:ascii="Cambria" w:eastAsia="Cambria" w:hAnsi="Cambria" w:cs="Times New Roman"/>
          <w:sz w:val="22"/>
          <w:szCs w:val="22"/>
        </w:rPr>
      </w:pPr>
      <w:r w:rsidRPr="00DB28F3">
        <w:rPr>
          <w:rFonts w:ascii="Cambria" w:eastAsia="Cambria" w:hAnsi="Cambria" w:cs="Times New Roman"/>
          <w:sz w:val="22"/>
          <w:szCs w:val="22"/>
        </w:rPr>
        <w:t>WRI 2014</w:t>
      </w:r>
      <w:r w:rsidR="00160AA7" w:rsidRPr="00DB28F3">
        <w:rPr>
          <w:rFonts w:ascii="Cambria" w:eastAsia="Cambria" w:hAnsi="Cambria" w:cs="Times New Roman"/>
          <w:sz w:val="22"/>
          <w:szCs w:val="22"/>
        </w:rPr>
        <w:t xml:space="preserve">: </w:t>
      </w:r>
      <w:r w:rsidRPr="00DB28F3">
        <w:rPr>
          <w:rFonts w:ascii="Cambria" w:eastAsia="Cambria" w:hAnsi="Cambria" w:cs="Times New Roman"/>
          <w:sz w:val="22"/>
          <w:szCs w:val="22"/>
        </w:rPr>
        <w:t>World Resources Institute (2014). GHG Protocol tool for stationary combustion. Version 4.5.</w:t>
      </w:r>
    </w:p>
    <w:p w14:paraId="6A65C719" w14:textId="00AA38FC" w:rsidR="00160AA7" w:rsidRPr="00160AA7" w:rsidRDefault="00160AA7" w:rsidP="00160AA7">
      <w:pPr>
        <w:pStyle w:val="FootnoteText"/>
        <w:spacing w:after="120" w:line="276" w:lineRule="auto"/>
        <w:ind w:left="720" w:hanging="720"/>
        <w:rPr>
          <w:rFonts w:ascii="Cambria" w:eastAsia="Cambria" w:hAnsi="Cambria" w:cs="Times New Roman"/>
          <w:sz w:val="24"/>
          <w:szCs w:val="24"/>
        </w:rPr>
      </w:pPr>
    </w:p>
    <w:p w14:paraId="54DD9AAF" w14:textId="1E3C07FC" w:rsidR="00000156" w:rsidRDefault="00C524D2" w:rsidP="00C524D2">
      <w:pPr>
        <w:pStyle w:val="Heading1"/>
      </w:pPr>
      <w:r>
        <w:t>Limitations</w:t>
      </w:r>
    </w:p>
    <w:p w14:paraId="3C357A8D" w14:textId="5075442F" w:rsidR="006E6789" w:rsidRDefault="00C524D2" w:rsidP="00C524D2">
      <w:pPr>
        <w:spacing w:before="100" w:beforeAutospacing="1" w:after="100" w:afterAutospacing="1" w:line="255" w:lineRule="atLeast"/>
      </w:pPr>
      <w:r w:rsidRPr="00C524D2">
        <w:t xml:space="preserve">To be in conformance with the Scope 3 Standard, organizations shall include all Scope 3 emissions in their </w:t>
      </w:r>
      <w:proofErr w:type="gramStart"/>
      <w:r w:rsidRPr="00C524D2">
        <w:t>inventory, or</w:t>
      </w:r>
      <w:proofErr w:type="gramEnd"/>
      <w:r w:rsidRPr="00C524D2">
        <w:t xml:space="preserve"> disclose and justify any exclusions. This screening tool allows users to estimate emissions associated with all 15 categories of Scope 3 emissions. However, some of these categories may not be relevant to your organization and thus include an option to skip irrelevant portions of the tool. </w:t>
      </w:r>
      <w:r w:rsidR="006E6789">
        <w:t>In addition, in some cases, the underlying data used in the tool’s methodology is limited in terms of the greenhouse gases or activities accounted for. Listed below are the known limitations. Such</w:t>
      </w:r>
      <w:r w:rsidR="006E6789" w:rsidRPr="006E6789">
        <w:t xml:space="preserve"> exclusions should be assessed and determined by each company </w:t>
      </w:r>
      <w:r w:rsidR="006E6789">
        <w:t>whether they</w:t>
      </w:r>
      <w:r w:rsidR="006E6789" w:rsidRPr="006E6789">
        <w:t xml:space="preserve"> may be significant emissions.  </w:t>
      </w:r>
      <w:r w:rsidR="006E6789">
        <w:t>Companies may</w:t>
      </w:r>
      <w:r w:rsidR="006E6789" w:rsidRPr="006E6789">
        <w:t xml:space="preserve"> need to estimate those missing emissions sources and add them to their inventory </w:t>
      </w:r>
      <w:proofErr w:type="gramStart"/>
      <w:r w:rsidR="006E6789" w:rsidRPr="006E6789">
        <w:t>in order for</w:t>
      </w:r>
      <w:proofErr w:type="gramEnd"/>
      <w:r w:rsidR="006E6789" w:rsidRPr="006E6789">
        <w:t xml:space="preserve"> it to be in </w:t>
      </w:r>
      <w:r w:rsidR="006E6789">
        <w:t xml:space="preserve">conformance with the standard. However, if these </w:t>
      </w:r>
      <w:r w:rsidR="006E6789" w:rsidRPr="006E6789">
        <w:t>are not significant sources and don’t exceed the company’s significance threshold, then the company can justify them as exclusions.</w:t>
      </w:r>
    </w:p>
    <w:p w14:paraId="6B9615C8" w14:textId="77777777" w:rsidR="00C524D2" w:rsidRPr="00C524D2" w:rsidRDefault="00C524D2" w:rsidP="00C524D2">
      <w:pPr>
        <w:numPr>
          <w:ilvl w:val="0"/>
          <w:numId w:val="4"/>
        </w:numPr>
        <w:spacing w:before="225" w:after="225"/>
      </w:pPr>
      <w:r w:rsidRPr="00C524D2">
        <w:t>Anywhere WIOD is used, only three GHGs are accounted for (CO</w:t>
      </w:r>
      <w:r w:rsidRPr="0004510A">
        <w:rPr>
          <w:vertAlign w:val="subscript"/>
        </w:rPr>
        <w:t>2</w:t>
      </w:r>
      <w:r w:rsidRPr="00C524D2">
        <w:t>, CH</w:t>
      </w:r>
      <w:r w:rsidRPr="0004510A">
        <w:rPr>
          <w:vertAlign w:val="subscript"/>
        </w:rPr>
        <w:t>4</w:t>
      </w:r>
      <w:r w:rsidRPr="00C524D2">
        <w:t>, N</w:t>
      </w:r>
      <w:r w:rsidRPr="0004510A">
        <w:rPr>
          <w:vertAlign w:val="subscript"/>
        </w:rPr>
        <w:t>2</w:t>
      </w:r>
      <w:r w:rsidRPr="00C524D2">
        <w:t>O)</w:t>
      </w:r>
    </w:p>
    <w:p w14:paraId="77CE7C7C" w14:textId="77777777" w:rsidR="00C524D2" w:rsidRPr="00C524D2" w:rsidRDefault="00C524D2" w:rsidP="00C524D2">
      <w:pPr>
        <w:numPr>
          <w:ilvl w:val="0"/>
          <w:numId w:val="4"/>
        </w:numPr>
        <w:spacing w:before="225" w:after="225"/>
      </w:pPr>
      <w:r w:rsidRPr="00C524D2">
        <w:t>Anywhere WRI emissions factors are used, these only account for CO</w:t>
      </w:r>
      <w:r w:rsidRPr="0004510A">
        <w:rPr>
          <w:vertAlign w:val="subscript"/>
        </w:rPr>
        <w:t>2</w:t>
      </w:r>
      <w:r w:rsidRPr="00C524D2">
        <w:t xml:space="preserve"> (no other GHGs)</w:t>
      </w:r>
    </w:p>
    <w:p w14:paraId="478A915D" w14:textId="77777777" w:rsidR="00C524D2" w:rsidRPr="00C524D2" w:rsidRDefault="00C524D2" w:rsidP="00C524D2">
      <w:pPr>
        <w:pStyle w:val="ListParagraph"/>
        <w:numPr>
          <w:ilvl w:val="0"/>
          <w:numId w:val="4"/>
        </w:numPr>
        <w:contextualSpacing w:val="0"/>
      </w:pPr>
      <w:r w:rsidRPr="00C524D2">
        <w:t>Scope 1 calculations do not account for any leaking of refrigerants from building AC systems unless total CO</w:t>
      </w:r>
      <w:r w:rsidRPr="0004510A">
        <w:rPr>
          <w:vertAlign w:val="subscript"/>
        </w:rPr>
        <w:t>2</w:t>
      </w:r>
      <w:r w:rsidRPr="00C524D2">
        <w:t>-e emissions are provided by the user. Gases other than carbon dioxide may not be accounted for, but these are often insignificant contributors to Scope 1 impacts.</w:t>
      </w:r>
    </w:p>
    <w:p w14:paraId="29F7816A" w14:textId="77777777" w:rsidR="00C524D2" w:rsidRPr="00C524D2" w:rsidRDefault="00C524D2" w:rsidP="00C524D2">
      <w:pPr>
        <w:numPr>
          <w:ilvl w:val="0"/>
          <w:numId w:val="4"/>
        </w:numPr>
        <w:spacing w:before="225" w:after="225"/>
      </w:pPr>
      <w:r w:rsidRPr="00C524D2">
        <w:t>Scope 3 Category 11 only covers energy use by sold products, not products that contain or form GHGs in use.</w:t>
      </w:r>
    </w:p>
    <w:p w14:paraId="1CA5C324" w14:textId="77777777" w:rsidR="00C524D2" w:rsidRDefault="00C524D2">
      <w:pPr>
        <w:spacing w:after="200" w:line="276" w:lineRule="auto"/>
        <w:rPr>
          <w:rFonts w:asciiTheme="majorHAnsi" w:eastAsiaTheme="majorEastAsia" w:hAnsiTheme="majorHAnsi" w:cstheme="majorBidi"/>
          <w:b/>
          <w:bCs/>
          <w:color w:val="157CAB" w:themeColor="accent1" w:themeShade="BF"/>
          <w:sz w:val="28"/>
          <w:szCs w:val="28"/>
        </w:rPr>
      </w:pPr>
    </w:p>
    <w:sectPr w:rsidR="00C524D2" w:rsidSect="00C67ABA">
      <w:headerReference w:type="default" r:id="rId17"/>
      <w:footerReference w:type="default" r:id="rId18"/>
      <w:pgSz w:w="12240" w:h="15840"/>
      <w:pgMar w:top="1872"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294D0" w14:textId="77777777" w:rsidR="00016662" w:rsidRDefault="00016662" w:rsidP="00BA01B0">
      <w:r>
        <w:separator/>
      </w:r>
    </w:p>
  </w:endnote>
  <w:endnote w:type="continuationSeparator" w:id="0">
    <w:p w14:paraId="549EADC7" w14:textId="77777777" w:rsidR="00016662" w:rsidRDefault="00016662" w:rsidP="00BA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E74C" w14:textId="2E8D11EA" w:rsidR="009125B2" w:rsidRDefault="009125B2">
    <w:pPr>
      <w:pStyle w:val="Footer"/>
      <w:jc w:val="right"/>
    </w:pPr>
    <w:r>
      <w:rPr>
        <w:noProof/>
      </w:rPr>
      <mc:AlternateContent>
        <mc:Choice Requires="wps">
          <w:drawing>
            <wp:anchor distT="0" distB="0" distL="114300" distR="114300" simplePos="0" relativeHeight="251659264" behindDoc="0" locked="0" layoutInCell="1" allowOverlap="1" wp14:anchorId="7D5580EE" wp14:editId="019A88C6">
              <wp:simplePos x="0" y="0"/>
              <wp:positionH relativeFrom="column">
                <wp:posOffset>-473075</wp:posOffset>
              </wp:positionH>
              <wp:positionV relativeFrom="paragraph">
                <wp:posOffset>-77470</wp:posOffset>
              </wp:positionV>
              <wp:extent cx="2374265" cy="1403985"/>
              <wp:effectExtent l="0" t="0" r="381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7923A18" w14:textId="4A7D0EFB" w:rsidR="009125B2" w:rsidRDefault="007F2242">
                          <w:r>
                            <w:t xml:space="preserve">Last updated </w:t>
                          </w:r>
                          <w:r w:rsidR="00A159B6">
                            <w:t>February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5580EE" id="_x0000_t202" coordsize="21600,21600" o:spt="202" path="m,l,21600r21600,l21600,xe">
              <v:stroke joinstyle="miter"/>
              <v:path gradientshapeok="t" o:connecttype="rect"/>
            </v:shapetype>
            <v:shape id="Text Box 2" o:spid="_x0000_s1026" type="#_x0000_t202" style="position:absolute;left:0;text-align:left;margin-left:-37.25pt;margin-top:-6.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" stroked="f">
              <v:textbox style="mso-fit-shape-to-text:t">
                <w:txbxContent>
                  <w:p w14:paraId="67923A18" w14:textId="4A7D0EFB" w:rsidR="009125B2" w:rsidRDefault="007F2242">
                    <w:r>
                      <w:t xml:space="preserve">Last updated </w:t>
                    </w:r>
                    <w:r w:rsidR="00A159B6">
                      <w:t>February 2021</w:t>
                    </w:r>
                  </w:p>
                </w:txbxContent>
              </v:textbox>
            </v:shape>
          </w:pict>
        </mc:Fallback>
      </mc:AlternateContent>
    </w:r>
    <w:sdt>
      <w:sdtPr>
        <w:id w:val="6591192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3789">
          <w:rPr>
            <w:noProof/>
          </w:rPr>
          <w:t>12</w:t>
        </w:r>
        <w:r>
          <w:rPr>
            <w:noProof/>
          </w:rPr>
          <w:fldChar w:fldCharType="end"/>
        </w:r>
      </w:sdtContent>
    </w:sdt>
  </w:p>
  <w:p w14:paraId="09BF03D3" w14:textId="461DA1AB" w:rsidR="009125B2" w:rsidRDefault="00912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E8334" w14:textId="77777777" w:rsidR="00016662" w:rsidRDefault="00016662" w:rsidP="00BA01B0">
      <w:r>
        <w:separator/>
      </w:r>
    </w:p>
  </w:footnote>
  <w:footnote w:type="continuationSeparator" w:id="0">
    <w:p w14:paraId="373589DB" w14:textId="77777777" w:rsidR="00016662" w:rsidRDefault="00016662" w:rsidP="00BA01B0">
      <w:r>
        <w:continuationSeparator/>
      </w:r>
    </w:p>
  </w:footnote>
  <w:footnote w:id="1">
    <w:p w14:paraId="6A31D32D" w14:textId="2D3CF46D" w:rsidR="009125B2" w:rsidRPr="0097310D" w:rsidRDefault="009125B2" w:rsidP="00FD17E3">
      <w:pPr>
        <w:pStyle w:val="FootnoteText"/>
        <w:spacing w:after="120"/>
        <w:rPr>
          <w:rFonts w:asciiTheme="majorHAnsi" w:hAnsiTheme="majorHAnsi"/>
        </w:rPr>
      </w:pPr>
      <w:r w:rsidRPr="0097310D">
        <w:rPr>
          <w:rStyle w:val="FootnoteReference"/>
          <w:rFonts w:asciiTheme="majorHAnsi" w:hAnsiTheme="majorHAnsi"/>
        </w:rPr>
        <w:footnoteRef/>
      </w:r>
      <w:r w:rsidRPr="0097310D">
        <w:rPr>
          <w:rFonts w:asciiTheme="majorHAnsi" w:hAnsiTheme="majorHAnsi"/>
        </w:rPr>
        <w:t xml:space="preserve"> Greenhouse Gas Protocol Corporate Value Chain Accounting and Reporting Standard: </w:t>
      </w:r>
      <w:hyperlink r:id="rId1" w:history="1">
        <w:r w:rsidRPr="0097310D">
          <w:rPr>
            <w:rStyle w:val="Hyperlink"/>
            <w:rFonts w:asciiTheme="majorHAnsi" w:hAnsiTheme="majorHAnsi"/>
          </w:rPr>
          <w:t>http://www.ghgprotocol.org/standards/scope-3-standard</w:t>
        </w:r>
      </w:hyperlink>
    </w:p>
  </w:footnote>
  <w:footnote w:id="2">
    <w:p w14:paraId="2081A1A3" w14:textId="3240D189" w:rsidR="00594336" w:rsidRDefault="00594336" w:rsidP="00FD17E3">
      <w:pPr>
        <w:pStyle w:val="FootnoteText"/>
        <w:spacing w:after="120"/>
      </w:pPr>
      <w:r w:rsidRPr="0097310D">
        <w:rPr>
          <w:rStyle w:val="FootnoteReference"/>
          <w:rFonts w:asciiTheme="majorHAnsi" w:hAnsiTheme="majorHAnsi"/>
        </w:rPr>
        <w:footnoteRef/>
      </w:r>
      <w:r w:rsidRPr="0097310D">
        <w:rPr>
          <w:rFonts w:asciiTheme="majorHAnsi" w:hAnsiTheme="majorHAnsi"/>
        </w:rPr>
        <w:t xml:space="preserve"> Technical Guidance for Calculating Scope 3 Emissions (version 1.0) http://www.ghgprotocol.org/files/ghgp/Scope3_Calculation_Guidance.pdf</w:t>
      </w:r>
    </w:p>
  </w:footnote>
  <w:footnote w:id="3">
    <w:p w14:paraId="1173CFA2" w14:textId="32B7BB64" w:rsidR="00F9694F" w:rsidRPr="0097310D" w:rsidRDefault="00F9694F" w:rsidP="00FD17E3">
      <w:pPr>
        <w:pStyle w:val="FootnoteText"/>
        <w:spacing w:after="120"/>
        <w:rPr>
          <w:rFonts w:asciiTheme="majorHAnsi" w:hAnsiTheme="majorHAnsi"/>
        </w:rPr>
      </w:pPr>
      <w:r w:rsidRPr="0097310D">
        <w:rPr>
          <w:rStyle w:val="FootnoteReference"/>
          <w:rFonts w:asciiTheme="majorHAnsi" w:hAnsiTheme="majorHAnsi"/>
        </w:rPr>
        <w:footnoteRef/>
      </w:r>
      <w:r w:rsidRPr="0097310D">
        <w:rPr>
          <w:rFonts w:asciiTheme="majorHAnsi" w:hAnsiTheme="majorHAnsi"/>
        </w:rPr>
        <w:t xml:space="preserve"> S indicates “Scope” and C indicates “Category.” For example, “S</w:t>
      </w:r>
      <w:proofErr w:type="gramStart"/>
      <w:r w:rsidRPr="0097310D">
        <w:rPr>
          <w:rFonts w:asciiTheme="majorHAnsi" w:hAnsiTheme="majorHAnsi"/>
        </w:rPr>
        <w:t>3,C</w:t>
      </w:r>
      <w:proofErr w:type="gramEnd"/>
      <w:r w:rsidRPr="0097310D">
        <w:rPr>
          <w:rFonts w:asciiTheme="majorHAnsi" w:hAnsiTheme="majorHAnsi"/>
        </w:rPr>
        <w:t>6” indicates “Scope 3, Category 6.”</w:t>
      </w:r>
    </w:p>
  </w:footnote>
  <w:footnote w:id="4">
    <w:p w14:paraId="0640B812" w14:textId="09ABB93A" w:rsidR="00D265F8" w:rsidRPr="0097310D" w:rsidRDefault="00D265F8" w:rsidP="00FD17E3">
      <w:pPr>
        <w:pStyle w:val="FootnoteText"/>
        <w:spacing w:after="120"/>
        <w:rPr>
          <w:rFonts w:asciiTheme="majorHAnsi" w:hAnsiTheme="majorHAnsi"/>
        </w:rPr>
      </w:pPr>
      <w:r w:rsidRPr="0097310D">
        <w:rPr>
          <w:rStyle w:val="FootnoteReference"/>
          <w:rFonts w:asciiTheme="majorHAnsi" w:hAnsiTheme="majorHAnsi"/>
        </w:rPr>
        <w:footnoteRef/>
      </w:r>
      <w:r w:rsidRPr="0097310D">
        <w:rPr>
          <w:rFonts w:asciiTheme="majorHAnsi" w:hAnsiTheme="majorHAnsi"/>
        </w:rPr>
        <w:t xml:space="preserve"> “EF” stands for Environmental Factor, which has been defined in this document to represent the quantity of carbon-dioxide equivalents (kgCO2-eq) per quantity of the process under evaluation, such as mass, volume, distance, or dollars spent. </w:t>
      </w:r>
    </w:p>
  </w:footnote>
  <w:footnote w:id="5">
    <w:p w14:paraId="1369DDBC" w14:textId="64060BEA" w:rsidR="00D265F8" w:rsidRDefault="00D265F8" w:rsidP="00FD17E3">
      <w:pPr>
        <w:pStyle w:val="FootnoteText"/>
        <w:spacing w:after="120"/>
      </w:pPr>
      <w:r w:rsidRPr="0097310D">
        <w:rPr>
          <w:rStyle w:val="FootnoteReference"/>
          <w:rFonts w:asciiTheme="majorHAnsi" w:hAnsiTheme="majorHAnsi"/>
        </w:rPr>
        <w:footnoteRef/>
      </w:r>
      <w:r w:rsidRPr="0097310D">
        <w:rPr>
          <w:rFonts w:asciiTheme="majorHAnsi" w:hAnsiTheme="majorHAnsi"/>
        </w:rPr>
        <w:t xml:space="preserve"> “Plan A” is used to designate the preferred calculation for a given category. “Plan B” is used to designate the next favored calculation, and “Plan C” is used to designate the least favored calculation, where applicable.</w:t>
      </w:r>
    </w:p>
  </w:footnote>
  <w:footnote w:id="6">
    <w:p w14:paraId="291F481F" w14:textId="4A61E1FE" w:rsidR="00915159" w:rsidRPr="00915159" w:rsidRDefault="00915159" w:rsidP="00915159">
      <w:pPr>
        <w:shd w:val="clear" w:color="auto" w:fill="FFFFFF"/>
        <w:spacing w:after="120"/>
        <w:rPr>
          <w:rFonts w:eastAsia="Times New Roman" w:cs="Arial"/>
          <w:color w:val="222222"/>
          <w:sz w:val="19"/>
          <w:szCs w:val="19"/>
        </w:rPr>
      </w:pPr>
      <w:r w:rsidRPr="00D33789">
        <w:rPr>
          <w:rStyle w:val="FootnoteReference"/>
        </w:rPr>
        <w:footnoteRef/>
      </w:r>
      <w:r w:rsidRPr="00D33789">
        <w:t xml:space="preserve"> </w:t>
      </w:r>
      <w:r w:rsidRPr="00D33789">
        <w:rPr>
          <w:rFonts w:cs="Arial"/>
          <w:sz w:val="19"/>
          <w:szCs w:val="19"/>
        </w:rPr>
        <w:t xml:space="preserve">The World Input Output Database applies industry categories at the ISIC rev. 3 code level, as shown in Table A2 from the paper </w:t>
      </w:r>
      <w:r w:rsidRPr="00D33789">
        <w:rPr>
          <w:rFonts w:cs="Arial"/>
          <w:i/>
          <w:sz w:val="19"/>
          <w:szCs w:val="19"/>
        </w:rPr>
        <w:t>An Illustrated User Guide to the World Input–Output Database: the Case of Global Automotive Production</w:t>
      </w:r>
      <w:r w:rsidRPr="00D33789">
        <w:rPr>
          <w:rFonts w:cs="Arial"/>
          <w:sz w:val="19"/>
          <w:szCs w:val="19"/>
        </w:rPr>
        <w:t xml:space="preserve"> by Timmer et al., found here</w:t>
      </w:r>
      <w:r w:rsidRPr="00D33789">
        <w:rPr>
          <w:rFonts w:eastAsia="Times New Roman" w:cs="Arial"/>
          <w:sz w:val="19"/>
          <w:szCs w:val="19"/>
        </w:rPr>
        <w:t>:</w:t>
      </w:r>
      <w:r w:rsidRPr="00915159">
        <w:rPr>
          <w:rFonts w:eastAsia="Times New Roman" w:cs="Arial"/>
          <w:color w:val="222222"/>
          <w:sz w:val="19"/>
          <w:szCs w:val="19"/>
        </w:rPr>
        <w:t xml:space="preserve"> </w:t>
      </w:r>
      <w:hyperlink r:id="rId2" w:history="1">
        <w:r w:rsidRPr="00915159">
          <w:rPr>
            <w:rStyle w:val="Hyperlink"/>
            <w:rFonts w:cs="Arial"/>
            <w:sz w:val="19"/>
            <w:szCs w:val="19"/>
          </w:rPr>
          <w:t>http://onlinelibrary.wiley.com/doi/10.1111/roie.12178/full</w:t>
        </w:r>
      </w:hyperlink>
    </w:p>
  </w:footnote>
  <w:footnote w:id="7">
    <w:p w14:paraId="7C2CAB06" w14:textId="4A5AA58C" w:rsidR="00F8092D" w:rsidRDefault="00F8092D" w:rsidP="00B20069">
      <w:pPr>
        <w:spacing w:after="120"/>
      </w:pPr>
      <w:r>
        <w:rPr>
          <w:rStyle w:val="FootnoteReference"/>
        </w:rPr>
        <w:footnoteRef/>
      </w:r>
      <w:r>
        <w:t xml:space="preserve"> </w:t>
      </w:r>
      <w:r w:rsidRPr="0097310D">
        <w:rPr>
          <w:sz w:val="20"/>
          <w:szCs w:val="20"/>
        </w:rPr>
        <w:t>Marcel P. Timmer (ed) (2012), "The World Input-Output Database (WIOD): Contents, Sources and Methods",</w:t>
      </w:r>
      <w:r w:rsidR="0097310D">
        <w:rPr>
          <w:sz w:val="18"/>
          <w:szCs w:val="18"/>
        </w:rPr>
        <w:t xml:space="preserve"> </w:t>
      </w:r>
      <w:r w:rsidRPr="00707881">
        <w:rPr>
          <w:sz w:val="20"/>
          <w:szCs w:val="20"/>
        </w:rPr>
        <w:t>WIOD Working Paper Number 10, downloadable at </w:t>
      </w:r>
      <w:hyperlink r:id="rId3" w:history="1">
        <w:r w:rsidRPr="00707881">
          <w:rPr>
            <w:rStyle w:val="Hyperlink"/>
            <w:sz w:val="20"/>
            <w:szCs w:val="20"/>
          </w:rPr>
          <w:t>http://www.wiod.org/publications/papers/wiod10.pdf</w:t>
        </w:r>
      </w:hyperlink>
      <w:r w:rsidRPr="00707881">
        <w:rPr>
          <w:rStyle w:val="Hyperlink"/>
          <w:sz w:val="20"/>
          <w:szCs w:val="20"/>
        </w:rPr>
        <w:t>.</w:t>
      </w:r>
      <w:r w:rsidRPr="0097310D">
        <w:rPr>
          <w:rStyle w:val="Hyperlink"/>
          <w:sz w:val="20"/>
          <w:szCs w:val="20"/>
          <w:u w:val="none"/>
        </w:rPr>
        <w:t xml:space="preserve"> </w:t>
      </w:r>
      <w:r w:rsidR="0097310D" w:rsidRPr="0097310D">
        <w:rPr>
          <w:rStyle w:val="Hyperlink"/>
          <w:sz w:val="20"/>
          <w:szCs w:val="20"/>
          <w:u w:val="none"/>
        </w:rPr>
        <w:t xml:space="preserve"> </w:t>
      </w:r>
      <w:r w:rsidRPr="00707881">
        <w:rPr>
          <w:sz w:val="20"/>
          <w:szCs w:val="20"/>
        </w:rPr>
        <w:t xml:space="preserve">Data accessed at </w:t>
      </w:r>
      <w:hyperlink r:id="rId4" w:history="1">
        <w:r w:rsidRPr="00707881">
          <w:rPr>
            <w:rStyle w:val="Hyperlink"/>
            <w:sz w:val="20"/>
            <w:szCs w:val="20"/>
          </w:rPr>
          <w:t>http://www.wiod.org/new_site/database/seas.htm</w:t>
        </w:r>
      </w:hyperlink>
    </w:p>
  </w:footnote>
  <w:footnote w:id="8">
    <w:p w14:paraId="7234D6A8" w14:textId="10A98815" w:rsidR="009A755D" w:rsidRDefault="00A24EEC" w:rsidP="009A755D">
      <w:pPr>
        <w:pStyle w:val="FootnoteText"/>
        <w:spacing w:after="120"/>
      </w:pPr>
      <w:r w:rsidRPr="009A755D">
        <w:rPr>
          <w:rStyle w:val="FootnoteReference"/>
          <w:rFonts w:asciiTheme="majorHAnsi" w:hAnsiTheme="majorHAnsi"/>
        </w:rPr>
        <w:footnoteRef/>
      </w:r>
      <w:r w:rsidRPr="009A755D">
        <w:rPr>
          <w:rFonts w:asciiTheme="majorHAnsi" w:hAnsiTheme="majorHAnsi"/>
        </w:rPr>
        <w:t xml:space="preserve"> </w:t>
      </w:r>
      <w:r w:rsidRPr="009A755D">
        <w:rPr>
          <w:rFonts w:ascii="Cambria" w:eastAsia="Cambria" w:hAnsi="Cambria" w:cs="Times New Roman"/>
        </w:rPr>
        <w:t xml:space="preserve">Next WIOD Socio Economic Accounts Factors are projected to be published in summer 2017. </w:t>
      </w:r>
      <w:hyperlink r:id="rId5" w:history="1">
        <w:r w:rsidR="009A755D" w:rsidRPr="009A755D">
          <w:rPr>
            <w:rStyle w:val="Hyperlink"/>
            <w:rFonts w:asciiTheme="majorHAnsi" w:hAnsiTheme="majorHAnsi"/>
          </w:rPr>
          <w:t>http://www.wiod.org/database/seas16</w:t>
        </w:r>
      </w:hyperlink>
    </w:p>
  </w:footnote>
  <w:footnote w:id="9">
    <w:p w14:paraId="046EC17D" w14:textId="7207F1E5" w:rsidR="00F8092D" w:rsidRDefault="00F8092D" w:rsidP="009A755D">
      <w:pPr>
        <w:spacing w:after="120"/>
      </w:pPr>
      <w:r>
        <w:rPr>
          <w:rStyle w:val="FootnoteReference"/>
        </w:rPr>
        <w:footnoteRef/>
      </w:r>
      <w:r>
        <w:t xml:space="preserve"> </w:t>
      </w:r>
      <w:r w:rsidRPr="00707881">
        <w:rPr>
          <w:sz w:val="20"/>
          <w:szCs w:val="20"/>
        </w:rPr>
        <w:t>US Department of Commerce, Bureau of Economic Analysis. GDP by industry accounts.</w:t>
      </w:r>
      <w:r w:rsidRPr="00707881">
        <w:rPr>
          <w:color w:val="1F497D"/>
          <w:sz w:val="20"/>
          <w:szCs w:val="20"/>
        </w:rPr>
        <w:t> </w:t>
      </w:r>
      <w:r w:rsidR="00B20FCD" w:rsidRPr="00B20FCD">
        <w:rPr>
          <w:color w:val="1F497D"/>
          <w:sz w:val="20"/>
          <w:szCs w:val="20"/>
        </w:rPr>
        <w:t>Chain-Type Price Indexes for Gross Output by Industry</w:t>
      </w:r>
      <w:r w:rsidR="00B20FCD">
        <w:rPr>
          <w:color w:val="1F497D"/>
          <w:sz w:val="20"/>
          <w:szCs w:val="20"/>
        </w:rPr>
        <w:t>, November 03, 2016 release.</w:t>
      </w:r>
      <w:r w:rsidRPr="00707881">
        <w:rPr>
          <w:color w:val="1F497D"/>
          <w:sz w:val="20"/>
          <w:szCs w:val="20"/>
        </w:rPr>
        <w:t xml:space="preserve"> </w:t>
      </w:r>
      <w:hyperlink r:id="rId6" w:history="1">
        <w:r w:rsidRPr="00707881">
          <w:rPr>
            <w:rStyle w:val="Hyperlink"/>
            <w:sz w:val="20"/>
            <w:szCs w:val="20"/>
          </w:rPr>
          <w:t>http://www.bea.gov/industry/gdpbyind_data.htm</w:t>
        </w:r>
      </w:hyperlink>
    </w:p>
  </w:footnote>
  <w:footnote w:id="10">
    <w:p w14:paraId="3BC75472" w14:textId="4CB172BF" w:rsidR="004F12F9" w:rsidRPr="0097310D" w:rsidRDefault="004F12F9" w:rsidP="00FD17E3">
      <w:pPr>
        <w:pStyle w:val="FootnoteText"/>
        <w:spacing w:after="120"/>
        <w:rPr>
          <w:rFonts w:asciiTheme="majorHAnsi" w:hAnsiTheme="majorHAnsi"/>
        </w:rPr>
      </w:pPr>
      <w:r>
        <w:rPr>
          <w:rStyle w:val="FootnoteReference"/>
        </w:rPr>
        <w:footnoteRef/>
      </w:r>
      <w:r>
        <w:t xml:space="preserve"> </w:t>
      </w:r>
      <w:r w:rsidRPr="0097310D">
        <w:rPr>
          <w:rFonts w:asciiTheme="majorHAnsi" w:hAnsiTheme="majorHAnsi"/>
        </w:rPr>
        <w:t xml:space="preserve">Basic price is defined by the OECD as the amount receivable by the producer from the purchaser for a unit of a good or service produced as output, minus any tax payable, and plus any subsidy receivable, and excluding any transport charges: </w:t>
      </w:r>
      <w:hyperlink r:id="rId7" w:history="1">
        <w:r w:rsidRPr="0097310D">
          <w:rPr>
            <w:rStyle w:val="Hyperlink"/>
            <w:rFonts w:asciiTheme="majorHAnsi" w:hAnsiTheme="majorHAnsi"/>
          </w:rPr>
          <w:t>http://stats.oecd.org/glossary/detail.asp?ID=189</w:t>
        </w:r>
      </w:hyperlink>
    </w:p>
    <w:p w14:paraId="2CC280DA" w14:textId="77777777" w:rsidR="004F12F9" w:rsidRDefault="004F12F9">
      <w:pPr>
        <w:pStyle w:val="FootnoteText"/>
      </w:pPr>
    </w:p>
  </w:footnote>
  <w:footnote w:id="11">
    <w:p w14:paraId="1100F111" w14:textId="4736EDFD" w:rsidR="009125B2" w:rsidRPr="0097310D" w:rsidRDefault="009125B2" w:rsidP="00FD17E3">
      <w:pPr>
        <w:pStyle w:val="FootnoteText"/>
        <w:spacing w:after="120"/>
        <w:rPr>
          <w:rFonts w:asciiTheme="majorHAnsi" w:hAnsiTheme="majorHAnsi"/>
        </w:rPr>
      </w:pPr>
      <w:r w:rsidRPr="0097310D">
        <w:rPr>
          <w:rStyle w:val="FootnoteReference"/>
          <w:rFonts w:asciiTheme="majorHAnsi" w:hAnsiTheme="majorHAnsi"/>
        </w:rPr>
        <w:footnoteRef/>
      </w:r>
      <w:r w:rsidRPr="0097310D">
        <w:rPr>
          <w:rFonts w:asciiTheme="majorHAnsi" w:hAnsiTheme="majorHAnsi"/>
        </w:rPr>
        <w:t xml:space="preserve"> Conversion multipliers to estimate Category 3 emissions based on Scope 1 and 2 emissions are estimated based on the results of three corporate </w:t>
      </w:r>
      <w:proofErr w:type="spellStart"/>
      <w:r w:rsidRPr="0097310D">
        <w:rPr>
          <w:rFonts w:asciiTheme="majorHAnsi" w:hAnsiTheme="majorHAnsi"/>
        </w:rPr>
        <w:t>footprinting</w:t>
      </w:r>
      <w:proofErr w:type="spellEnd"/>
      <w:r w:rsidRPr="0097310D">
        <w:rPr>
          <w:rFonts w:asciiTheme="majorHAnsi" w:hAnsiTheme="majorHAnsi"/>
        </w:rPr>
        <w:t xml:space="preserve"> case studies carried out by Quantis between 2011 and 2013. </w:t>
      </w:r>
    </w:p>
  </w:footnote>
  <w:footnote w:id="12">
    <w:p w14:paraId="6C2CD3D8" w14:textId="4F49878F" w:rsidR="009125B2" w:rsidRPr="00637594" w:rsidRDefault="009125B2" w:rsidP="00FD17E3">
      <w:pPr>
        <w:pStyle w:val="FootnoteText"/>
        <w:spacing w:after="120"/>
      </w:pPr>
      <w:r w:rsidRPr="0097310D">
        <w:rPr>
          <w:rStyle w:val="FootnoteReference"/>
          <w:rFonts w:asciiTheme="majorHAnsi" w:hAnsiTheme="majorHAnsi"/>
        </w:rPr>
        <w:footnoteRef/>
      </w:r>
      <w:r w:rsidRPr="0097310D">
        <w:rPr>
          <w:rFonts w:asciiTheme="majorHAnsi" w:hAnsiTheme="majorHAnsi"/>
        </w:rPr>
        <w:t xml:space="preserve"> Conversion multipliers to estimate Category 3 emissions based on Scope 1 and 2 emissions are estimated based on the results of three corporate </w:t>
      </w:r>
      <w:proofErr w:type="spellStart"/>
      <w:r w:rsidRPr="0097310D">
        <w:rPr>
          <w:rFonts w:asciiTheme="majorHAnsi" w:hAnsiTheme="majorHAnsi"/>
        </w:rPr>
        <w:t>footprinting</w:t>
      </w:r>
      <w:proofErr w:type="spellEnd"/>
      <w:r w:rsidRPr="0097310D">
        <w:rPr>
          <w:rFonts w:asciiTheme="majorHAnsi" w:hAnsiTheme="majorHAnsi"/>
        </w:rPr>
        <w:t xml:space="preserve"> case studies carried out by Quantis between 2011 and 2013.</w:t>
      </w:r>
    </w:p>
  </w:footnote>
  <w:footnote w:id="13">
    <w:p w14:paraId="3AF30E5A" w14:textId="77777777" w:rsidR="009125B2" w:rsidRPr="0097310D" w:rsidRDefault="009125B2" w:rsidP="00FD17E3">
      <w:pPr>
        <w:pStyle w:val="FootnoteText"/>
        <w:spacing w:after="120"/>
        <w:rPr>
          <w:rFonts w:asciiTheme="majorHAnsi" w:hAnsiTheme="majorHAnsi"/>
        </w:rPr>
      </w:pPr>
      <w:r w:rsidRPr="0097310D">
        <w:rPr>
          <w:rStyle w:val="FootnoteReference"/>
          <w:rFonts w:asciiTheme="majorHAnsi" w:hAnsiTheme="majorHAnsi"/>
        </w:rPr>
        <w:footnoteRef/>
      </w:r>
      <w:r w:rsidRPr="0097310D">
        <w:rPr>
          <w:rFonts w:asciiTheme="majorHAnsi" w:hAnsiTheme="majorHAnsi"/>
        </w:rPr>
        <w:t xml:space="preserve"> 240 days of commuting per year; carpoolers are allocated 1/3 of the car ride (Quantis assumptions)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AE07D" w14:textId="77777777" w:rsidR="009125B2" w:rsidRDefault="009125B2">
    <w:pPr>
      <w:pStyle w:val="Header"/>
      <w:rPr>
        <w:noProof/>
      </w:rPr>
    </w:pPr>
  </w:p>
  <w:p w14:paraId="1D585A50" w14:textId="7BB34BB8" w:rsidR="009125B2" w:rsidRDefault="009125B2">
    <w:pPr>
      <w:pStyle w:val="Header"/>
    </w:pPr>
    <w:r>
      <w:rPr>
        <w:noProof/>
      </w:rPr>
      <w:drawing>
        <wp:inline distT="0" distB="0" distL="0" distR="0" wp14:anchorId="24FAA7B0" wp14:editId="368A9365">
          <wp:extent cx="2014246" cy="710058"/>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Gp.JPG"/>
                  <pic:cNvPicPr/>
                </pic:nvPicPr>
                <pic:blipFill>
                  <a:blip r:embed="rId1">
                    <a:extLst>
                      <a:ext uri="{28A0092B-C50C-407E-A947-70E740481C1C}">
                        <a14:useLocalDpi xmlns:a14="http://schemas.microsoft.com/office/drawing/2010/main" val="0"/>
                      </a:ext>
                    </a:extLst>
                  </a:blip>
                  <a:stretch>
                    <a:fillRect/>
                  </a:stretch>
                </pic:blipFill>
                <pic:spPr>
                  <a:xfrm>
                    <a:off x="0" y="0"/>
                    <a:ext cx="2025174" cy="713910"/>
                  </a:xfrm>
                  <a:prstGeom prst="rect">
                    <a:avLst/>
                  </a:prstGeom>
                </pic:spPr>
              </pic:pic>
            </a:graphicData>
          </a:graphic>
        </wp:inline>
      </w:drawing>
    </w:r>
    <w:r>
      <w:ptab w:relativeTo="margin" w:alignment="center" w:leader="none"/>
    </w:r>
    <w:r>
      <w:ptab w:relativeTo="margin" w:alignment="right" w:leader="none"/>
    </w:r>
    <w:r>
      <w:t xml:space="preserve"> </w:t>
    </w:r>
    <w:r w:rsidR="004F2C88">
      <w:rPr>
        <w:noProof/>
      </w:rPr>
      <w:drawing>
        <wp:inline distT="0" distB="0" distL="0" distR="0" wp14:anchorId="286CBE57" wp14:editId="14948C9F">
          <wp:extent cx="1543050" cy="391331"/>
          <wp:effectExtent l="0" t="0" r="0" b="889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
                  <a:stretch>
                    <a:fillRect/>
                  </a:stretch>
                </pic:blipFill>
                <pic:spPr>
                  <a:xfrm>
                    <a:off x="0" y="0"/>
                    <a:ext cx="1546464" cy="392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0118E"/>
    <w:multiLevelType w:val="hybridMultilevel"/>
    <w:tmpl w:val="F714782A"/>
    <w:lvl w:ilvl="0" w:tplc="28E2E4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D398F"/>
    <w:multiLevelType w:val="multilevel"/>
    <w:tmpl w:val="AD88C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60A01"/>
    <w:multiLevelType w:val="hybridMultilevel"/>
    <w:tmpl w:val="500C387E"/>
    <w:lvl w:ilvl="0" w:tplc="3BF46EDC">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 w15:restartNumberingAfterBreak="0">
    <w:nsid w:val="6CB05E05"/>
    <w:multiLevelType w:val="hybridMultilevel"/>
    <w:tmpl w:val="623AB4B8"/>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B0"/>
    <w:rsid w:val="00000156"/>
    <w:rsid w:val="00006E70"/>
    <w:rsid w:val="00016662"/>
    <w:rsid w:val="00020D90"/>
    <w:rsid w:val="00030657"/>
    <w:rsid w:val="0003613B"/>
    <w:rsid w:val="00041F4A"/>
    <w:rsid w:val="00042692"/>
    <w:rsid w:val="00044A8E"/>
    <w:rsid w:val="0004510A"/>
    <w:rsid w:val="00063DE7"/>
    <w:rsid w:val="00066736"/>
    <w:rsid w:val="00066CC4"/>
    <w:rsid w:val="00067B5E"/>
    <w:rsid w:val="000709EF"/>
    <w:rsid w:val="00091947"/>
    <w:rsid w:val="000B62D5"/>
    <w:rsid w:val="000C32AB"/>
    <w:rsid w:val="000C65F9"/>
    <w:rsid w:val="000E03C8"/>
    <w:rsid w:val="000E642D"/>
    <w:rsid w:val="000F49E6"/>
    <w:rsid w:val="00116F19"/>
    <w:rsid w:val="00121528"/>
    <w:rsid w:val="00124BD9"/>
    <w:rsid w:val="0013657B"/>
    <w:rsid w:val="0013674F"/>
    <w:rsid w:val="0014261D"/>
    <w:rsid w:val="00143F8E"/>
    <w:rsid w:val="00145B34"/>
    <w:rsid w:val="00146B43"/>
    <w:rsid w:val="00160AA7"/>
    <w:rsid w:val="00160C76"/>
    <w:rsid w:val="0016475F"/>
    <w:rsid w:val="00167D6E"/>
    <w:rsid w:val="00192B61"/>
    <w:rsid w:val="0019596E"/>
    <w:rsid w:val="001B3977"/>
    <w:rsid w:val="001C3B7C"/>
    <w:rsid w:val="001E2883"/>
    <w:rsid w:val="00212B33"/>
    <w:rsid w:val="0022080A"/>
    <w:rsid w:val="00253B1B"/>
    <w:rsid w:val="0028519D"/>
    <w:rsid w:val="002A60DE"/>
    <w:rsid w:val="002B358C"/>
    <w:rsid w:val="002C5087"/>
    <w:rsid w:val="002D66BB"/>
    <w:rsid w:val="002F6E62"/>
    <w:rsid w:val="0031441A"/>
    <w:rsid w:val="00321A8A"/>
    <w:rsid w:val="003367D6"/>
    <w:rsid w:val="003737CE"/>
    <w:rsid w:val="0037683D"/>
    <w:rsid w:val="00395CF1"/>
    <w:rsid w:val="003C4164"/>
    <w:rsid w:val="003D35D6"/>
    <w:rsid w:val="003D6D51"/>
    <w:rsid w:val="00405C2C"/>
    <w:rsid w:val="00411E2A"/>
    <w:rsid w:val="00416004"/>
    <w:rsid w:val="00437EBF"/>
    <w:rsid w:val="00444A4B"/>
    <w:rsid w:val="00451CC4"/>
    <w:rsid w:val="00453B1D"/>
    <w:rsid w:val="004709E5"/>
    <w:rsid w:val="004765BD"/>
    <w:rsid w:val="0049540A"/>
    <w:rsid w:val="00497BA3"/>
    <w:rsid w:val="004A2B6E"/>
    <w:rsid w:val="004C1D37"/>
    <w:rsid w:val="004E6F2A"/>
    <w:rsid w:val="004F12F9"/>
    <w:rsid w:val="004F2407"/>
    <w:rsid w:val="004F2C88"/>
    <w:rsid w:val="0051111A"/>
    <w:rsid w:val="00541F85"/>
    <w:rsid w:val="00547084"/>
    <w:rsid w:val="00561612"/>
    <w:rsid w:val="00565BB9"/>
    <w:rsid w:val="00572131"/>
    <w:rsid w:val="00594336"/>
    <w:rsid w:val="005A7BE6"/>
    <w:rsid w:val="00610FCC"/>
    <w:rsid w:val="0061408D"/>
    <w:rsid w:val="00617FE9"/>
    <w:rsid w:val="00620898"/>
    <w:rsid w:val="006373BC"/>
    <w:rsid w:val="006415B6"/>
    <w:rsid w:val="00654822"/>
    <w:rsid w:val="00656559"/>
    <w:rsid w:val="00680DC6"/>
    <w:rsid w:val="006814E1"/>
    <w:rsid w:val="00691A0B"/>
    <w:rsid w:val="006956ED"/>
    <w:rsid w:val="00695C44"/>
    <w:rsid w:val="00695DB7"/>
    <w:rsid w:val="0069774A"/>
    <w:rsid w:val="006A214E"/>
    <w:rsid w:val="006A71EC"/>
    <w:rsid w:val="006B2E3E"/>
    <w:rsid w:val="006B5DD8"/>
    <w:rsid w:val="006C2D10"/>
    <w:rsid w:val="006C654B"/>
    <w:rsid w:val="006D2435"/>
    <w:rsid w:val="006E6789"/>
    <w:rsid w:val="006E6D22"/>
    <w:rsid w:val="00707881"/>
    <w:rsid w:val="00717888"/>
    <w:rsid w:val="00726EC5"/>
    <w:rsid w:val="00730F42"/>
    <w:rsid w:val="00762603"/>
    <w:rsid w:val="00762E71"/>
    <w:rsid w:val="00765B99"/>
    <w:rsid w:val="00785456"/>
    <w:rsid w:val="007B6597"/>
    <w:rsid w:val="007E3F40"/>
    <w:rsid w:val="007E6EF8"/>
    <w:rsid w:val="007F2242"/>
    <w:rsid w:val="00800542"/>
    <w:rsid w:val="008171B5"/>
    <w:rsid w:val="00832319"/>
    <w:rsid w:val="00842C09"/>
    <w:rsid w:val="00843C31"/>
    <w:rsid w:val="0084749D"/>
    <w:rsid w:val="00853792"/>
    <w:rsid w:val="0085609D"/>
    <w:rsid w:val="008854B4"/>
    <w:rsid w:val="00887EA1"/>
    <w:rsid w:val="00892A3A"/>
    <w:rsid w:val="008A49D0"/>
    <w:rsid w:val="008A7D03"/>
    <w:rsid w:val="008B1870"/>
    <w:rsid w:val="008C365A"/>
    <w:rsid w:val="008C67B3"/>
    <w:rsid w:val="008C6826"/>
    <w:rsid w:val="008D0A54"/>
    <w:rsid w:val="008D33E1"/>
    <w:rsid w:val="0090645E"/>
    <w:rsid w:val="009125B2"/>
    <w:rsid w:val="00915159"/>
    <w:rsid w:val="0092282C"/>
    <w:rsid w:val="009231D8"/>
    <w:rsid w:val="009262BE"/>
    <w:rsid w:val="00941DA9"/>
    <w:rsid w:val="00942FDC"/>
    <w:rsid w:val="00945E52"/>
    <w:rsid w:val="00953141"/>
    <w:rsid w:val="00954FFD"/>
    <w:rsid w:val="00967980"/>
    <w:rsid w:val="009704BF"/>
    <w:rsid w:val="0097310D"/>
    <w:rsid w:val="00974527"/>
    <w:rsid w:val="00993A96"/>
    <w:rsid w:val="009958BF"/>
    <w:rsid w:val="009A755D"/>
    <w:rsid w:val="009C4510"/>
    <w:rsid w:val="00A04A8B"/>
    <w:rsid w:val="00A159B6"/>
    <w:rsid w:val="00A24EEC"/>
    <w:rsid w:val="00A253C6"/>
    <w:rsid w:val="00A34C0C"/>
    <w:rsid w:val="00A41756"/>
    <w:rsid w:val="00A775D5"/>
    <w:rsid w:val="00A77AA0"/>
    <w:rsid w:val="00A83777"/>
    <w:rsid w:val="00A9252C"/>
    <w:rsid w:val="00AA05F7"/>
    <w:rsid w:val="00AA739D"/>
    <w:rsid w:val="00AB5148"/>
    <w:rsid w:val="00AD61DE"/>
    <w:rsid w:val="00AF7158"/>
    <w:rsid w:val="00B17408"/>
    <w:rsid w:val="00B20069"/>
    <w:rsid w:val="00B20FCD"/>
    <w:rsid w:val="00B26D79"/>
    <w:rsid w:val="00B41119"/>
    <w:rsid w:val="00B57346"/>
    <w:rsid w:val="00B62C3A"/>
    <w:rsid w:val="00B65778"/>
    <w:rsid w:val="00B66AF7"/>
    <w:rsid w:val="00B77779"/>
    <w:rsid w:val="00BA01B0"/>
    <w:rsid w:val="00BA1B2E"/>
    <w:rsid w:val="00BA31A1"/>
    <w:rsid w:val="00BB6D82"/>
    <w:rsid w:val="00BC7C43"/>
    <w:rsid w:val="00BD491A"/>
    <w:rsid w:val="00BE3847"/>
    <w:rsid w:val="00BE42AE"/>
    <w:rsid w:val="00BF0495"/>
    <w:rsid w:val="00BF7701"/>
    <w:rsid w:val="00C0664B"/>
    <w:rsid w:val="00C07F52"/>
    <w:rsid w:val="00C13368"/>
    <w:rsid w:val="00C26856"/>
    <w:rsid w:val="00C524D2"/>
    <w:rsid w:val="00C67ABA"/>
    <w:rsid w:val="00C84005"/>
    <w:rsid w:val="00CA52F1"/>
    <w:rsid w:val="00CD7D51"/>
    <w:rsid w:val="00CE093C"/>
    <w:rsid w:val="00CE4470"/>
    <w:rsid w:val="00CE7A8F"/>
    <w:rsid w:val="00D106CA"/>
    <w:rsid w:val="00D156F1"/>
    <w:rsid w:val="00D2281D"/>
    <w:rsid w:val="00D265F8"/>
    <w:rsid w:val="00D33789"/>
    <w:rsid w:val="00D346D6"/>
    <w:rsid w:val="00D35147"/>
    <w:rsid w:val="00D428F2"/>
    <w:rsid w:val="00D4764E"/>
    <w:rsid w:val="00D537D3"/>
    <w:rsid w:val="00D56E7B"/>
    <w:rsid w:val="00D60D97"/>
    <w:rsid w:val="00D65F23"/>
    <w:rsid w:val="00D75182"/>
    <w:rsid w:val="00D83165"/>
    <w:rsid w:val="00D85C26"/>
    <w:rsid w:val="00D96937"/>
    <w:rsid w:val="00DA22EE"/>
    <w:rsid w:val="00DB28F3"/>
    <w:rsid w:val="00DB4078"/>
    <w:rsid w:val="00DF1463"/>
    <w:rsid w:val="00DF5220"/>
    <w:rsid w:val="00E14CC6"/>
    <w:rsid w:val="00E208EE"/>
    <w:rsid w:val="00E23E60"/>
    <w:rsid w:val="00E31422"/>
    <w:rsid w:val="00E44364"/>
    <w:rsid w:val="00E6203B"/>
    <w:rsid w:val="00E80C47"/>
    <w:rsid w:val="00E905C5"/>
    <w:rsid w:val="00E965FE"/>
    <w:rsid w:val="00E96E89"/>
    <w:rsid w:val="00E97504"/>
    <w:rsid w:val="00EC4EC6"/>
    <w:rsid w:val="00EC68E6"/>
    <w:rsid w:val="00ED0195"/>
    <w:rsid w:val="00EE6C05"/>
    <w:rsid w:val="00EF486C"/>
    <w:rsid w:val="00F00FAC"/>
    <w:rsid w:val="00F13CF7"/>
    <w:rsid w:val="00F31F25"/>
    <w:rsid w:val="00F32CB5"/>
    <w:rsid w:val="00F43A47"/>
    <w:rsid w:val="00F4785F"/>
    <w:rsid w:val="00F53FD9"/>
    <w:rsid w:val="00F8092D"/>
    <w:rsid w:val="00F92001"/>
    <w:rsid w:val="00F9694F"/>
    <w:rsid w:val="00FD17E3"/>
    <w:rsid w:val="00FE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B0"/>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572131"/>
    <w:pPr>
      <w:keepNext/>
      <w:keepLines/>
      <w:spacing w:before="480" w:line="276" w:lineRule="auto"/>
      <w:outlineLvl w:val="0"/>
    </w:pPr>
    <w:rPr>
      <w:rFonts w:asciiTheme="majorHAnsi" w:eastAsiaTheme="majorEastAsia" w:hAnsiTheme="majorHAnsi" w:cstheme="majorBidi"/>
      <w:b/>
      <w:bCs/>
      <w:color w:val="157CAB" w:themeColor="accent1" w:themeShade="BF"/>
      <w:sz w:val="28"/>
      <w:szCs w:val="28"/>
    </w:rPr>
  </w:style>
  <w:style w:type="paragraph" w:styleId="Heading2">
    <w:name w:val="heading 2"/>
    <w:basedOn w:val="Normal"/>
    <w:next w:val="Normal"/>
    <w:link w:val="Heading2Char"/>
    <w:uiPriority w:val="9"/>
    <w:unhideWhenUsed/>
    <w:qFormat/>
    <w:rsid w:val="00572131"/>
    <w:pPr>
      <w:keepNext/>
      <w:keepLines/>
      <w:spacing w:before="200" w:line="276" w:lineRule="auto"/>
      <w:outlineLvl w:val="1"/>
    </w:pPr>
    <w:rPr>
      <w:rFonts w:asciiTheme="majorHAnsi" w:eastAsiaTheme="majorEastAsia" w:hAnsiTheme="majorHAnsi" w:cstheme="majorBidi"/>
      <w:b/>
      <w:bCs/>
      <w:color w:val="1FA6E3" w:themeColor="accent1"/>
      <w:sz w:val="26"/>
      <w:szCs w:val="26"/>
    </w:rPr>
  </w:style>
  <w:style w:type="paragraph" w:styleId="Heading3">
    <w:name w:val="heading 3"/>
    <w:basedOn w:val="Normal"/>
    <w:next w:val="Normal"/>
    <w:link w:val="Heading3Char"/>
    <w:uiPriority w:val="9"/>
    <w:unhideWhenUsed/>
    <w:qFormat/>
    <w:rsid w:val="00572131"/>
    <w:pPr>
      <w:keepNext/>
      <w:keepLines/>
      <w:spacing w:before="200" w:line="276" w:lineRule="auto"/>
      <w:outlineLvl w:val="2"/>
    </w:pPr>
    <w:rPr>
      <w:rFonts w:asciiTheme="majorHAnsi" w:eastAsiaTheme="majorEastAsia" w:hAnsiTheme="majorHAnsi" w:cstheme="majorBidi"/>
      <w:b/>
      <w:bCs/>
      <w:color w:val="1FA6E3"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1B0"/>
    <w:pPr>
      <w:tabs>
        <w:tab w:val="center" w:pos="4680"/>
        <w:tab w:val="right" w:pos="9360"/>
      </w:tabs>
    </w:pPr>
  </w:style>
  <w:style w:type="character" w:customStyle="1" w:styleId="HeaderChar">
    <w:name w:val="Header Char"/>
    <w:basedOn w:val="DefaultParagraphFont"/>
    <w:link w:val="Header"/>
    <w:uiPriority w:val="99"/>
    <w:rsid w:val="00BA01B0"/>
    <w:rPr>
      <w:rFonts w:ascii="Cambria" w:eastAsia="Cambria" w:hAnsi="Cambria" w:cs="Times New Roman"/>
      <w:sz w:val="24"/>
      <w:szCs w:val="24"/>
    </w:rPr>
  </w:style>
  <w:style w:type="paragraph" w:styleId="Footer">
    <w:name w:val="footer"/>
    <w:basedOn w:val="Normal"/>
    <w:link w:val="FooterChar"/>
    <w:uiPriority w:val="99"/>
    <w:unhideWhenUsed/>
    <w:rsid w:val="00BA01B0"/>
    <w:pPr>
      <w:tabs>
        <w:tab w:val="center" w:pos="4680"/>
        <w:tab w:val="right" w:pos="9360"/>
      </w:tabs>
    </w:pPr>
  </w:style>
  <w:style w:type="character" w:customStyle="1" w:styleId="FooterChar">
    <w:name w:val="Footer Char"/>
    <w:basedOn w:val="DefaultParagraphFont"/>
    <w:link w:val="Footer"/>
    <w:uiPriority w:val="99"/>
    <w:rsid w:val="00BA01B0"/>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BA01B0"/>
    <w:rPr>
      <w:sz w:val="16"/>
      <w:szCs w:val="16"/>
    </w:rPr>
  </w:style>
  <w:style w:type="paragraph" w:styleId="CommentText">
    <w:name w:val="annotation text"/>
    <w:basedOn w:val="Normal"/>
    <w:link w:val="CommentTextChar"/>
    <w:uiPriority w:val="99"/>
    <w:semiHidden/>
    <w:unhideWhenUsed/>
    <w:rsid w:val="00BA01B0"/>
    <w:rPr>
      <w:sz w:val="20"/>
      <w:szCs w:val="20"/>
    </w:rPr>
  </w:style>
  <w:style w:type="character" w:customStyle="1" w:styleId="CommentTextChar">
    <w:name w:val="Comment Text Char"/>
    <w:basedOn w:val="DefaultParagraphFont"/>
    <w:link w:val="CommentText"/>
    <w:uiPriority w:val="99"/>
    <w:semiHidden/>
    <w:rsid w:val="00BA01B0"/>
    <w:rPr>
      <w:rFonts w:ascii="Cambria" w:eastAsia="Cambria" w:hAnsi="Cambria" w:cs="Times New Roman"/>
      <w:sz w:val="20"/>
      <w:szCs w:val="20"/>
    </w:rPr>
  </w:style>
  <w:style w:type="paragraph" w:styleId="ListParagraph">
    <w:name w:val="List Paragraph"/>
    <w:basedOn w:val="Normal"/>
    <w:uiPriority w:val="34"/>
    <w:qFormat/>
    <w:rsid w:val="00BA01B0"/>
    <w:pPr>
      <w:ind w:left="720"/>
      <w:contextualSpacing/>
    </w:pPr>
  </w:style>
  <w:style w:type="table" w:styleId="ColorfulGrid-Accent5">
    <w:name w:val="Colorful Grid Accent 5"/>
    <w:basedOn w:val="TableNormal"/>
    <w:uiPriority w:val="73"/>
    <w:rsid w:val="00BA01B0"/>
    <w:pPr>
      <w:spacing w:after="0" w:line="240" w:lineRule="auto"/>
    </w:pPr>
    <w:rPr>
      <w:color w:val="695E59" w:themeColor="text1"/>
    </w:rPr>
    <w:tblPr>
      <w:tblStyleRowBandSize w:val="1"/>
      <w:tblStyleColBandSize w:val="1"/>
      <w:tblBorders>
        <w:insideH w:val="single" w:sz="4" w:space="0" w:color="FFFFFF" w:themeColor="background1"/>
      </w:tblBorders>
    </w:tblPr>
    <w:tcPr>
      <w:shd w:val="clear" w:color="auto" w:fill="F7C6EA" w:themeFill="accent5" w:themeFillTint="33"/>
    </w:tcPr>
    <w:tblStylePr w:type="firstRow">
      <w:rPr>
        <w:b/>
        <w:bCs/>
      </w:rPr>
      <w:tblPr/>
      <w:tcPr>
        <w:shd w:val="clear" w:color="auto" w:fill="F08DD5" w:themeFill="accent5" w:themeFillTint="66"/>
      </w:tcPr>
    </w:tblStylePr>
    <w:tblStylePr w:type="lastRow">
      <w:rPr>
        <w:b/>
        <w:bCs/>
        <w:color w:val="695E59" w:themeColor="text1"/>
      </w:rPr>
      <w:tblPr/>
      <w:tcPr>
        <w:shd w:val="clear" w:color="auto" w:fill="F08DD5" w:themeFill="accent5" w:themeFillTint="66"/>
      </w:tcPr>
    </w:tblStylePr>
    <w:tblStylePr w:type="firstCol">
      <w:rPr>
        <w:color w:val="FFFFFF" w:themeColor="background1"/>
      </w:rPr>
      <w:tblPr/>
      <w:tcPr>
        <w:shd w:val="clear" w:color="auto" w:fill="7C105F" w:themeFill="accent5" w:themeFillShade="BF"/>
      </w:tcPr>
    </w:tblStylePr>
    <w:tblStylePr w:type="lastCol">
      <w:rPr>
        <w:color w:val="FFFFFF" w:themeColor="background1"/>
      </w:rPr>
      <w:tblPr/>
      <w:tcPr>
        <w:shd w:val="clear" w:color="auto" w:fill="7C105F" w:themeFill="accent5" w:themeFillShade="BF"/>
      </w:tcPr>
    </w:tblStylePr>
    <w:tblStylePr w:type="band1Vert">
      <w:tblPr/>
      <w:tcPr>
        <w:shd w:val="clear" w:color="auto" w:fill="EC71CB" w:themeFill="accent5" w:themeFillTint="7F"/>
      </w:tcPr>
    </w:tblStylePr>
    <w:tblStylePr w:type="band1Horz">
      <w:tblPr/>
      <w:tcPr>
        <w:shd w:val="clear" w:color="auto" w:fill="EC71CB" w:themeFill="accent5" w:themeFillTint="7F"/>
      </w:tcPr>
    </w:tblStylePr>
  </w:style>
  <w:style w:type="paragraph" w:styleId="BalloonText">
    <w:name w:val="Balloon Text"/>
    <w:basedOn w:val="Normal"/>
    <w:link w:val="BalloonTextChar"/>
    <w:uiPriority w:val="99"/>
    <w:semiHidden/>
    <w:unhideWhenUsed/>
    <w:rsid w:val="00BA01B0"/>
    <w:rPr>
      <w:rFonts w:ascii="Tahoma" w:hAnsi="Tahoma" w:cs="Tahoma"/>
      <w:sz w:val="16"/>
      <w:szCs w:val="16"/>
    </w:rPr>
  </w:style>
  <w:style w:type="character" w:customStyle="1" w:styleId="BalloonTextChar">
    <w:name w:val="Balloon Text Char"/>
    <w:basedOn w:val="DefaultParagraphFont"/>
    <w:link w:val="BalloonText"/>
    <w:uiPriority w:val="99"/>
    <w:semiHidden/>
    <w:rsid w:val="00BA01B0"/>
    <w:rPr>
      <w:rFonts w:ascii="Tahoma" w:eastAsia="Cambria" w:hAnsi="Tahoma" w:cs="Tahoma"/>
      <w:sz w:val="16"/>
      <w:szCs w:val="16"/>
    </w:rPr>
  </w:style>
  <w:style w:type="paragraph" w:styleId="CommentSubject">
    <w:name w:val="annotation subject"/>
    <w:basedOn w:val="CommentText"/>
    <w:next w:val="CommentText"/>
    <w:link w:val="CommentSubjectChar"/>
    <w:uiPriority w:val="99"/>
    <w:semiHidden/>
    <w:unhideWhenUsed/>
    <w:rsid w:val="00AB5148"/>
    <w:rPr>
      <w:b/>
      <w:bCs/>
    </w:rPr>
  </w:style>
  <w:style w:type="character" w:customStyle="1" w:styleId="CommentSubjectChar">
    <w:name w:val="Comment Subject Char"/>
    <w:basedOn w:val="CommentTextChar"/>
    <w:link w:val="CommentSubject"/>
    <w:uiPriority w:val="99"/>
    <w:semiHidden/>
    <w:rsid w:val="00AB5148"/>
    <w:rPr>
      <w:rFonts w:ascii="Cambria" w:eastAsia="Cambria" w:hAnsi="Cambria" w:cs="Times New Roman"/>
      <w:b/>
      <w:bCs/>
      <w:sz w:val="20"/>
      <w:szCs w:val="20"/>
    </w:rPr>
  </w:style>
  <w:style w:type="character" w:customStyle="1" w:styleId="Heading1Char">
    <w:name w:val="Heading 1 Char"/>
    <w:basedOn w:val="DefaultParagraphFont"/>
    <w:link w:val="Heading1"/>
    <w:uiPriority w:val="9"/>
    <w:rsid w:val="00572131"/>
    <w:rPr>
      <w:rFonts w:asciiTheme="majorHAnsi" w:eastAsiaTheme="majorEastAsia" w:hAnsiTheme="majorHAnsi" w:cstheme="majorBidi"/>
      <w:b/>
      <w:bCs/>
      <w:color w:val="157CAB" w:themeColor="accent1" w:themeShade="BF"/>
      <w:sz w:val="28"/>
      <w:szCs w:val="28"/>
    </w:rPr>
  </w:style>
  <w:style w:type="character" w:customStyle="1" w:styleId="Heading2Char">
    <w:name w:val="Heading 2 Char"/>
    <w:basedOn w:val="DefaultParagraphFont"/>
    <w:link w:val="Heading2"/>
    <w:uiPriority w:val="9"/>
    <w:rsid w:val="00572131"/>
    <w:rPr>
      <w:rFonts w:asciiTheme="majorHAnsi" w:eastAsiaTheme="majorEastAsia" w:hAnsiTheme="majorHAnsi" w:cstheme="majorBidi"/>
      <w:b/>
      <w:bCs/>
      <w:color w:val="1FA6E3" w:themeColor="accent1"/>
      <w:sz w:val="26"/>
      <w:szCs w:val="26"/>
    </w:rPr>
  </w:style>
  <w:style w:type="character" w:customStyle="1" w:styleId="Heading3Char">
    <w:name w:val="Heading 3 Char"/>
    <w:basedOn w:val="DefaultParagraphFont"/>
    <w:link w:val="Heading3"/>
    <w:uiPriority w:val="9"/>
    <w:rsid w:val="00572131"/>
    <w:rPr>
      <w:rFonts w:asciiTheme="majorHAnsi" w:eastAsiaTheme="majorEastAsia" w:hAnsiTheme="majorHAnsi" w:cstheme="majorBidi"/>
      <w:b/>
      <w:bCs/>
      <w:color w:val="1FA6E3" w:themeColor="accent1"/>
    </w:rPr>
  </w:style>
  <w:style w:type="paragraph" w:styleId="FootnoteText">
    <w:name w:val="footnote text"/>
    <w:basedOn w:val="Normal"/>
    <w:link w:val="FootnoteTextChar"/>
    <w:uiPriority w:val="99"/>
    <w:unhideWhenUsed/>
    <w:rsid w:val="005721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72131"/>
    <w:rPr>
      <w:sz w:val="20"/>
      <w:szCs w:val="20"/>
    </w:rPr>
  </w:style>
  <w:style w:type="character" w:styleId="FootnoteReference">
    <w:name w:val="footnote reference"/>
    <w:basedOn w:val="DefaultParagraphFont"/>
    <w:uiPriority w:val="99"/>
    <w:semiHidden/>
    <w:unhideWhenUsed/>
    <w:rsid w:val="00572131"/>
    <w:rPr>
      <w:vertAlign w:val="superscript"/>
    </w:rPr>
  </w:style>
  <w:style w:type="character" w:styleId="Hyperlink">
    <w:name w:val="Hyperlink"/>
    <w:basedOn w:val="DefaultParagraphFont"/>
    <w:uiPriority w:val="99"/>
    <w:unhideWhenUsed/>
    <w:rsid w:val="00572131"/>
    <w:rPr>
      <w:color w:val="0000FF"/>
      <w:u w:val="single"/>
    </w:rPr>
  </w:style>
  <w:style w:type="table" w:styleId="TableGrid">
    <w:name w:val="Table Grid"/>
    <w:basedOn w:val="TableNormal"/>
    <w:uiPriority w:val="59"/>
    <w:rsid w:val="0057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5B99"/>
    <w:rPr>
      <w:color w:val="E6007E" w:themeColor="followedHyperlink"/>
      <w:u w:val="single"/>
    </w:rPr>
  </w:style>
  <w:style w:type="paragraph" w:styleId="NormalWeb">
    <w:name w:val="Normal (Web)"/>
    <w:basedOn w:val="Normal"/>
    <w:uiPriority w:val="99"/>
    <w:semiHidden/>
    <w:unhideWhenUsed/>
    <w:rsid w:val="00A253C6"/>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9151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6651">
      <w:bodyDiv w:val="1"/>
      <w:marLeft w:val="0"/>
      <w:marRight w:val="0"/>
      <w:marTop w:val="0"/>
      <w:marBottom w:val="0"/>
      <w:divBdr>
        <w:top w:val="none" w:sz="0" w:space="0" w:color="auto"/>
        <w:left w:val="none" w:sz="0" w:space="0" w:color="auto"/>
        <w:bottom w:val="none" w:sz="0" w:space="0" w:color="auto"/>
        <w:right w:val="none" w:sz="0" w:space="0" w:color="auto"/>
      </w:divBdr>
    </w:div>
    <w:div w:id="850609395">
      <w:bodyDiv w:val="1"/>
      <w:marLeft w:val="0"/>
      <w:marRight w:val="0"/>
      <w:marTop w:val="0"/>
      <w:marBottom w:val="0"/>
      <w:divBdr>
        <w:top w:val="none" w:sz="0" w:space="0" w:color="auto"/>
        <w:left w:val="none" w:sz="0" w:space="0" w:color="auto"/>
        <w:bottom w:val="none" w:sz="0" w:space="0" w:color="auto"/>
        <w:right w:val="none" w:sz="0" w:space="0" w:color="auto"/>
      </w:divBdr>
    </w:div>
    <w:div w:id="1002048895">
      <w:bodyDiv w:val="1"/>
      <w:marLeft w:val="0"/>
      <w:marRight w:val="0"/>
      <w:marTop w:val="0"/>
      <w:marBottom w:val="0"/>
      <w:divBdr>
        <w:top w:val="none" w:sz="0" w:space="0" w:color="auto"/>
        <w:left w:val="none" w:sz="0" w:space="0" w:color="auto"/>
        <w:bottom w:val="none" w:sz="0" w:space="0" w:color="auto"/>
        <w:right w:val="none" w:sz="0" w:space="0" w:color="auto"/>
      </w:divBdr>
    </w:div>
    <w:div w:id="1250500809">
      <w:bodyDiv w:val="1"/>
      <w:marLeft w:val="0"/>
      <w:marRight w:val="0"/>
      <w:marTop w:val="0"/>
      <w:marBottom w:val="0"/>
      <w:divBdr>
        <w:top w:val="none" w:sz="0" w:space="0" w:color="auto"/>
        <w:left w:val="none" w:sz="0" w:space="0" w:color="auto"/>
        <w:bottom w:val="none" w:sz="0" w:space="0" w:color="auto"/>
        <w:right w:val="none" w:sz="0" w:space="0" w:color="auto"/>
      </w:divBdr>
      <w:divsChild>
        <w:div w:id="1007908448">
          <w:marLeft w:val="0"/>
          <w:marRight w:val="0"/>
          <w:marTop w:val="0"/>
          <w:marBottom w:val="0"/>
          <w:divBdr>
            <w:top w:val="none" w:sz="0" w:space="0" w:color="auto"/>
            <w:left w:val="none" w:sz="0" w:space="0" w:color="auto"/>
            <w:bottom w:val="none" w:sz="0" w:space="0" w:color="auto"/>
            <w:right w:val="none" w:sz="0" w:space="0" w:color="auto"/>
          </w:divBdr>
        </w:div>
        <w:div w:id="2069187166">
          <w:marLeft w:val="0"/>
          <w:marRight w:val="0"/>
          <w:marTop w:val="0"/>
          <w:marBottom w:val="0"/>
          <w:divBdr>
            <w:top w:val="none" w:sz="0" w:space="0" w:color="auto"/>
            <w:left w:val="none" w:sz="0" w:space="0" w:color="auto"/>
            <w:bottom w:val="none" w:sz="0" w:space="0" w:color="auto"/>
            <w:right w:val="none" w:sz="0" w:space="0" w:color="auto"/>
          </w:divBdr>
        </w:div>
        <w:div w:id="210583979">
          <w:marLeft w:val="0"/>
          <w:marRight w:val="0"/>
          <w:marTop w:val="0"/>
          <w:marBottom w:val="0"/>
          <w:divBdr>
            <w:top w:val="none" w:sz="0" w:space="0" w:color="auto"/>
            <w:left w:val="none" w:sz="0" w:space="0" w:color="auto"/>
            <w:bottom w:val="none" w:sz="0" w:space="0" w:color="auto"/>
            <w:right w:val="none" w:sz="0" w:space="0" w:color="auto"/>
          </w:divBdr>
        </w:div>
      </w:divsChild>
    </w:div>
    <w:div w:id="1548638010">
      <w:bodyDiv w:val="1"/>
      <w:marLeft w:val="0"/>
      <w:marRight w:val="0"/>
      <w:marTop w:val="0"/>
      <w:marBottom w:val="0"/>
      <w:divBdr>
        <w:top w:val="none" w:sz="0" w:space="0" w:color="auto"/>
        <w:left w:val="none" w:sz="0" w:space="0" w:color="auto"/>
        <w:bottom w:val="none" w:sz="0" w:space="0" w:color="auto"/>
        <w:right w:val="none" w:sz="0" w:space="0" w:color="auto"/>
      </w:divBdr>
    </w:div>
    <w:div w:id="1649245468">
      <w:bodyDiv w:val="1"/>
      <w:marLeft w:val="0"/>
      <w:marRight w:val="0"/>
      <w:marTop w:val="0"/>
      <w:marBottom w:val="0"/>
      <w:divBdr>
        <w:top w:val="none" w:sz="0" w:space="0" w:color="auto"/>
        <w:left w:val="none" w:sz="0" w:space="0" w:color="auto"/>
        <w:bottom w:val="none" w:sz="0" w:space="0" w:color="auto"/>
        <w:right w:val="none" w:sz="0" w:space="0" w:color="auto"/>
      </w:divBdr>
    </w:div>
    <w:div w:id="1650555952">
      <w:bodyDiv w:val="1"/>
      <w:marLeft w:val="0"/>
      <w:marRight w:val="0"/>
      <w:marTop w:val="0"/>
      <w:marBottom w:val="0"/>
      <w:divBdr>
        <w:top w:val="none" w:sz="0" w:space="0" w:color="auto"/>
        <w:left w:val="none" w:sz="0" w:space="0" w:color="auto"/>
        <w:bottom w:val="none" w:sz="0" w:space="0" w:color="auto"/>
        <w:right w:val="none" w:sz="0" w:space="0" w:color="auto"/>
      </w:divBdr>
    </w:div>
    <w:div w:id="19101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ntis-intl.com" TargetMode="External"/><Relationship Id="rId13" Type="http://schemas.openxmlformats.org/officeDocument/2006/relationships/hyperlink" Target="http://www.eia.gov/consumption/manufactur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od.org/new_site/home.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pa.gov/epawaste/conserve/tools/warm/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ship.sha.cornell.edu/chrreports/17/" TargetMode="External"/><Relationship Id="rId5" Type="http://schemas.openxmlformats.org/officeDocument/2006/relationships/webSettings" Target="webSettings.xml"/><Relationship Id="rId15" Type="http://schemas.openxmlformats.org/officeDocument/2006/relationships/hyperlink" Target="http://www.epa.gov/climateleadership/documents/resources/mobilesource_guidance.pdf" TargetMode="External"/><Relationship Id="rId10" Type="http://schemas.openxmlformats.org/officeDocument/2006/relationships/hyperlink" Target="http://www.mitenergyclub.org/assets/2008/11/15/Units_ConvFactors.MIT_EnergyClub_Factsheet.v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526958/ghg-conversion-factors-2016update_MASTER__links_removed__v2.xls" TargetMode="External"/><Relationship Id="rId14" Type="http://schemas.openxmlformats.org/officeDocument/2006/relationships/hyperlink" Target="http://www.epa.gov/climateleadership/documents/resources/stationarycombustionguidanc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od.org/publications/papers/wiod10.pdf" TargetMode="External"/><Relationship Id="rId7" Type="http://schemas.openxmlformats.org/officeDocument/2006/relationships/hyperlink" Target="http://stats.oecd.org/glossary/detail.asp?ID=189" TargetMode="External"/><Relationship Id="rId2" Type="http://schemas.openxmlformats.org/officeDocument/2006/relationships/hyperlink" Target="http://onlinelibrary.wiley.com/doi/10.1111/roie.12178/full" TargetMode="External"/><Relationship Id="rId1" Type="http://schemas.openxmlformats.org/officeDocument/2006/relationships/hyperlink" Target="http://www.ghgprotocol.org/standards/scope-3-standard" TargetMode="External"/><Relationship Id="rId6" Type="http://schemas.openxmlformats.org/officeDocument/2006/relationships/hyperlink" Target="http://www.bea.gov/industry/gdpbyind_data.htm" TargetMode="External"/><Relationship Id="rId5" Type="http://schemas.openxmlformats.org/officeDocument/2006/relationships/hyperlink" Target="http://www.wiod.org/database/seas16" TargetMode="External"/><Relationship Id="rId4" Type="http://schemas.openxmlformats.org/officeDocument/2006/relationships/hyperlink" Target="http://www.wiod.org/new_site/database/sea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Quantis2017">
  <a:themeElements>
    <a:clrScheme name="Personnalisée 13">
      <a:dk1>
        <a:srgbClr val="695E59"/>
      </a:dk1>
      <a:lt1>
        <a:srgbClr val="FFFFFF"/>
      </a:lt1>
      <a:dk2>
        <a:srgbClr val="E5004B"/>
      </a:dk2>
      <a:lt2>
        <a:srgbClr val="ECE9E9"/>
      </a:lt2>
      <a:accent1>
        <a:srgbClr val="1FA6E3"/>
      </a:accent1>
      <a:accent2>
        <a:srgbClr val="93D5F6"/>
      </a:accent2>
      <a:accent3>
        <a:srgbClr val="9185BE"/>
      </a:accent3>
      <a:accent4>
        <a:srgbClr val="BDB5DA"/>
      </a:accent4>
      <a:accent5>
        <a:srgbClr val="A71680"/>
      </a:accent5>
      <a:accent6>
        <a:srgbClr val="CE80B5"/>
      </a:accent6>
      <a:hlink>
        <a:srgbClr val="E5004B"/>
      </a:hlink>
      <a:folHlink>
        <a:srgbClr val="E6007E"/>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6CE8-2E2A-4F53-A511-A70BFB53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2019-03-04T16:48:00Z</dcterms:created>
  <dcterms:modified xsi:type="dcterms:W3CDTF">2021-02-24T14:39:00Z</dcterms:modified>
</cp:coreProperties>
</file>